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9C3" w:rsidRDefault="00197BD7">
      <w:pPr>
        <w:spacing w:after="160" w:line="259" w:lineRule="auto"/>
        <w:ind w:right="-1"/>
        <w:jc w:val="center"/>
        <w:rPr>
          <w:b/>
          <w:color w:val="000000"/>
          <w:sz w:val="28"/>
          <w:szCs w:val="28"/>
          <w:u w:val="single"/>
        </w:rPr>
      </w:pPr>
      <w:bookmarkStart w:id="0" w:name="_GoBack"/>
      <w:bookmarkEnd w:id="0"/>
      <w:r>
        <w:rPr>
          <w:i/>
          <w:noProof/>
          <w:color w:val="000000"/>
          <w:sz w:val="28"/>
          <w:szCs w:val="28"/>
        </w:rPr>
        <w:drawing>
          <wp:inline distT="114300" distB="114300" distL="114300" distR="114300">
            <wp:extent cx="1099185" cy="12954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99185" cy="1295400"/>
                    </a:xfrm>
                    <a:prstGeom prst="rect">
                      <a:avLst/>
                    </a:prstGeom>
                    <a:ln/>
                  </pic:spPr>
                </pic:pic>
              </a:graphicData>
            </a:graphic>
          </wp:inline>
        </w:drawing>
      </w:r>
      <w:r>
        <w:rPr>
          <w:i/>
          <w:color w:val="000000"/>
          <w:sz w:val="28"/>
          <w:szCs w:val="28"/>
        </w:rPr>
        <w:t xml:space="preserve">         </w:t>
      </w:r>
      <w:r>
        <w:rPr>
          <w:noProof/>
        </w:rPr>
        <w:drawing>
          <wp:anchor distT="0" distB="0" distL="114300" distR="114300" simplePos="0" relativeHeight="251658240" behindDoc="0" locked="0" layoutInCell="1" hidden="0" allowOverlap="1">
            <wp:simplePos x="0" y="0"/>
            <wp:positionH relativeFrom="column">
              <wp:posOffset>4886325</wp:posOffset>
            </wp:positionH>
            <wp:positionV relativeFrom="paragraph">
              <wp:posOffset>0</wp:posOffset>
            </wp:positionV>
            <wp:extent cx="1334135" cy="733425"/>
            <wp:effectExtent l="0" t="0" r="0" b="0"/>
            <wp:wrapSquare wrapText="bothSides" distT="0" distB="0" distL="114300" distR="11430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334135" cy="733425"/>
                    </a:xfrm>
                    <a:prstGeom prst="rect">
                      <a:avLst/>
                    </a:prstGeom>
                    <a:ln/>
                  </pic:spPr>
                </pic:pic>
              </a:graphicData>
            </a:graphic>
          </wp:anchor>
        </w:drawing>
      </w:r>
    </w:p>
    <w:p w:rsidR="007A59C3" w:rsidRDefault="00197BD7">
      <w:pPr>
        <w:spacing w:after="160" w:line="259" w:lineRule="auto"/>
        <w:jc w:val="center"/>
        <w:rPr>
          <w:b/>
          <w:color w:val="000000"/>
          <w:sz w:val="28"/>
          <w:szCs w:val="28"/>
          <w:u w:val="single"/>
        </w:rPr>
      </w:pPr>
      <w:r>
        <w:rPr>
          <w:b/>
          <w:color w:val="000000"/>
          <w:sz w:val="28"/>
          <w:szCs w:val="28"/>
          <w:u w:val="single"/>
        </w:rPr>
        <w:t>Dorchester  Oct 2024</w:t>
      </w:r>
    </w:p>
    <w:p w:rsidR="007A59C3" w:rsidRDefault="00197BD7">
      <w:pPr>
        <w:spacing w:after="160" w:line="259" w:lineRule="auto"/>
        <w:jc w:val="center"/>
        <w:rPr>
          <w:b/>
          <w:color w:val="000000"/>
          <w:sz w:val="28"/>
          <w:szCs w:val="28"/>
          <w:u w:val="single"/>
        </w:rPr>
      </w:pPr>
      <w:r>
        <w:rPr>
          <w:b/>
          <w:color w:val="000000"/>
          <w:sz w:val="28"/>
          <w:szCs w:val="28"/>
          <w:u w:val="single"/>
        </w:rPr>
        <w:t xml:space="preserve">Pupil premium strategy statement </w:t>
      </w:r>
    </w:p>
    <w:p w:rsidR="007A59C3" w:rsidRDefault="00197BD7">
      <w:pPr>
        <w:spacing w:after="160" w:line="259" w:lineRule="auto"/>
        <w:jc w:val="center"/>
        <w:rPr>
          <w:b/>
          <w:color w:val="000000"/>
          <w:sz w:val="28"/>
          <w:szCs w:val="28"/>
          <w:u w:val="single"/>
        </w:rPr>
      </w:pPr>
      <w:r>
        <w:rPr>
          <w:b/>
          <w:color w:val="000000"/>
          <w:sz w:val="28"/>
          <w:szCs w:val="28"/>
          <w:u w:val="single"/>
        </w:rPr>
        <w:t xml:space="preserve">Expenditure evaluation </w:t>
      </w:r>
    </w:p>
    <w:p w:rsidR="007A59C3" w:rsidRDefault="00197BD7">
      <w:pPr>
        <w:spacing w:after="160" w:line="259" w:lineRule="auto"/>
        <w:jc w:val="center"/>
        <w:rPr>
          <w:b/>
          <w:color w:val="000000"/>
          <w:sz w:val="28"/>
          <w:szCs w:val="28"/>
          <w:u w:val="single"/>
        </w:rPr>
      </w:pPr>
      <w:r>
        <w:rPr>
          <w:b/>
          <w:color w:val="000000"/>
          <w:sz w:val="28"/>
          <w:szCs w:val="28"/>
          <w:u w:val="single"/>
        </w:rPr>
        <w:t xml:space="preserve">Strategy plan </w:t>
      </w:r>
    </w:p>
    <w:p w:rsidR="007A59C3" w:rsidRDefault="00197BD7">
      <w:pPr>
        <w:spacing w:after="160" w:line="259" w:lineRule="auto"/>
        <w:ind w:left="2714" w:right="2613" w:hanging="1"/>
        <w:jc w:val="center"/>
        <w:rPr>
          <w:b/>
          <w:color w:val="000000"/>
          <w:sz w:val="22"/>
          <w:szCs w:val="22"/>
        </w:rPr>
      </w:pPr>
      <w:r>
        <w:rPr>
          <w:b/>
          <w:color w:val="000000"/>
          <w:sz w:val="22"/>
          <w:szCs w:val="22"/>
        </w:rPr>
        <w:t>“I was disadvantaged as a child, yet I had the advantage of being in the company of great teachers.”</w:t>
      </w:r>
    </w:p>
    <w:p w:rsidR="007A59C3" w:rsidRDefault="00197BD7">
      <w:pPr>
        <w:spacing w:after="160" w:line="259" w:lineRule="auto"/>
        <w:ind w:left="2714" w:right="2613" w:hanging="1"/>
        <w:jc w:val="center"/>
        <w:rPr>
          <w:b/>
          <w:color w:val="000000"/>
          <w:sz w:val="22"/>
          <w:szCs w:val="22"/>
        </w:rPr>
      </w:pPr>
      <w:r>
        <w:rPr>
          <w:b/>
          <w:color w:val="000000"/>
          <w:sz w:val="22"/>
          <w:szCs w:val="22"/>
        </w:rPr>
        <w:t>(A.P.J. Abdul Khan, 11</w:t>
      </w:r>
      <w:r>
        <w:rPr>
          <w:b/>
          <w:color w:val="000000"/>
          <w:sz w:val="22"/>
          <w:szCs w:val="22"/>
          <w:vertAlign w:val="superscript"/>
        </w:rPr>
        <w:t>th</w:t>
      </w:r>
      <w:r>
        <w:rPr>
          <w:b/>
          <w:color w:val="000000"/>
          <w:sz w:val="22"/>
          <w:szCs w:val="22"/>
        </w:rPr>
        <w:t xml:space="preserve"> President of India)</w:t>
      </w:r>
    </w:p>
    <w:p w:rsidR="007A59C3" w:rsidRDefault="00197BD7">
      <w:pPr>
        <w:spacing w:after="160" w:line="259" w:lineRule="auto"/>
        <w:jc w:val="center"/>
        <w:rPr>
          <w:rFonts w:ascii="Calibri" w:eastAsia="Calibri" w:hAnsi="Calibri" w:cs="Calibri"/>
          <w:b/>
          <w:i/>
          <w:color w:val="000000"/>
          <w:sz w:val="22"/>
          <w:szCs w:val="22"/>
        </w:rPr>
      </w:pPr>
      <w:r>
        <w:rPr>
          <w:rFonts w:ascii="Calibri" w:eastAsia="Calibri" w:hAnsi="Calibri" w:cs="Calibri"/>
          <w:b/>
          <w:i/>
          <w:color w:val="000000"/>
          <w:sz w:val="28"/>
          <w:szCs w:val="28"/>
        </w:rPr>
        <w:t>“Every one of our children is carrying something the world is waiting for – it’s just the world hasn’t got it yet,” Sister Judith Russi</w:t>
      </w:r>
    </w:p>
    <w:p w:rsidR="007A59C3" w:rsidRDefault="00197BD7">
      <w:pPr>
        <w:spacing w:after="160" w:line="259" w:lineRule="auto"/>
        <w:ind w:left="142" w:right="195"/>
        <w:jc w:val="both"/>
        <w:rPr>
          <w:rFonts w:ascii="Calibri" w:eastAsia="Calibri" w:hAnsi="Calibri" w:cs="Calibri"/>
          <w:color w:val="000000"/>
          <w:sz w:val="22"/>
          <w:szCs w:val="22"/>
        </w:rPr>
      </w:pPr>
      <w:r>
        <w:rPr>
          <w:rFonts w:ascii="Calibri" w:eastAsia="Calibri" w:hAnsi="Calibri" w:cs="Calibri"/>
          <w:color w:val="000000"/>
          <w:sz w:val="22"/>
          <w:szCs w:val="22"/>
        </w:rPr>
        <w:t>The ‘Pupil Premium’ is a government initiative that provides extra funding aimed at pupils from disadvantaged background</w:t>
      </w:r>
      <w:r>
        <w:rPr>
          <w:rFonts w:ascii="Calibri" w:eastAsia="Calibri" w:hAnsi="Calibri" w:cs="Calibri"/>
          <w:color w:val="000000"/>
          <w:sz w:val="22"/>
          <w:szCs w:val="22"/>
        </w:rPr>
        <w:t>s. Research shows that pupils from deprived backgrounds underachieve compared to their peers and that there is a strong link between eligibility for free school meals and underachievement. The Pupil Premium is designed to help each school boost the attainm</w:t>
      </w:r>
      <w:r>
        <w:rPr>
          <w:rFonts w:ascii="Calibri" w:eastAsia="Calibri" w:hAnsi="Calibri" w:cs="Calibri"/>
          <w:color w:val="000000"/>
          <w:sz w:val="22"/>
          <w:szCs w:val="22"/>
        </w:rPr>
        <w:t>ent of disadvantaged children and reduce the gap between the highest and the lowest achievers. The government has used pupils’ entitlement to free school meals (FSM) and children looked after by the local authority (CLA) as an indicator for deprivation. Th</w:t>
      </w:r>
      <w:r>
        <w:rPr>
          <w:rFonts w:ascii="Calibri" w:eastAsia="Calibri" w:hAnsi="Calibri" w:cs="Calibri"/>
          <w:color w:val="000000"/>
          <w:sz w:val="22"/>
          <w:szCs w:val="22"/>
        </w:rPr>
        <w:t>e funding is allocated according to the number of pupils on roll who have been eligible for free school meals at any point in the last 6 years (known as ‘Ever6 FSM’), an allocation for each pupil who has been ‘Looked After’ (in care) and a smaller amount f</w:t>
      </w:r>
      <w:r>
        <w:rPr>
          <w:rFonts w:ascii="Calibri" w:eastAsia="Calibri" w:hAnsi="Calibri" w:cs="Calibri"/>
          <w:color w:val="000000"/>
          <w:sz w:val="22"/>
          <w:szCs w:val="22"/>
        </w:rPr>
        <w:t>or the children of service families.</w:t>
      </w:r>
    </w:p>
    <w:p w:rsidR="007A59C3" w:rsidRDefault="00197BD7">
      <w:pP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Principles</w:t>
      </w:r>
    </w:p>
    <w:p w:rsidR="007A59C3" w:rsidRDefault="00197BD7">
      <w:pPr>
        <w:numPr>
          <w:ilvl w:val="0"/>
          <w:numId w:val="3"/>
        </w:numPr>
        <w:spacing w:after="0" w:line="240" w:lineRule="auto"/>
        <w:rPr>
          <w:color w:val="000000"/>
          <w:sz w:val="22"/>
          <w:szCs w:val="22"/>
        </w:rPr>
      </w:pPr>
      <w:r>
        <w:rPr>
          <w:rFonts w:ascii="Calibri" w:eastAsia="Calibri" w:hAnsi="Calibri" w:cs="Calibri"/>
          <w:color w:val="000000"/>
          <w:sz w:val="22"/>
          <w:szCs w:val="22"/>
        </w:rPr>
        <w:t>To ensure that teaching and learning opportunities meet the needs of all pupils.</w:t>
      </w:r>
    </w:p>
    <w:p w:rsidR="007A59C3" w:rsidRDefault="00197BD7">
      <w:pPr>
        <w:numPr>
          <w:ilvl w:val="0"/>
          <w:numId w:val="3"/>
        </w:numPr>
        <w:spacing w:after="0" w:line="240" w:lineRule="auto"/>
        <w:rPr>
          <w:color w:val="000000"/>
          <w:sz w:val="22"/>
          <w:szCs w:val="22"/>
        </w:rPr>
      </w:pPr>
      <w:r>
        <w:rPr>
          <w:rFonts w:ascii="Calibri" w:eastAsia="Calibri" w:hAnsi="Calibri" w:cs="Calibri"/>
          <w:color w:val="000000"/>
          <w:sz w:val="22"/>
          <w:szCs w:val="22"/>
        </w:rPr>
        <w:t>To ensure that appropriate provision is made for pupils who belong to vulnerable groups, this includes ensuring that the needs of socially disadvantaged pupils are adequately assessed and addressed.</w:t>
      </w:r>
    </w:p>
    <w:p w:rsidR="007A59C3" w:rsidRDefault="00197BD7">
      <w:pPr>
        <w:numPr>
          <w:ilvl w:val="0"/>
          <w:numId w:val="2"/>
        </w:num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In making provision for socially disadvantaged pupils, we</w:t>
      </w:r>
      <w:r>
        <w:rPr>
          <w:rFonts w:ascii="Calibri" w:eastAsia="Calibri" w:hAnsi="Calibri" w:cs="Calibri"/>
          <w:color w:val="000000"/>
          <w:sz w:val="22"/>
          <w:szCs w:val="22"/>
        </w:rPr>
        <w:t xml:space="preserve"> recognise that not all pupils who receive free school meals will be socially disadvantaged.</w:t>
      </w:r>
    </w:p>
    <w:p w:rsidR="007A59C3" w:rsidRDefault="00197BD7">
      <w:pPr>
        <w:numPr>
          <w:ilvl w:val="0"/>
          <w:numId w:val="2"/>
        </w:num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We also recognise that not all pupils who are socially disadvantaged are registered for free school meals. We reserve the right to allocate the Pupil Premium fundi</w:t>
      </w:r>
      <w:r>
        <w:rPr>
          <w:rFonts w:ascii="Calibri" w:eastAsia="Calibri" w:hAnsi="Calibri" w:cs="Calibri"/>
          <w:color w:val="000000"/>
          <w:sz w:val="22"/>
          <w:szCs w:val="22"/>
        </w:rPr>
        <w:t>ng to support any pupil, or groups of pupils the schools have legitimately identified as being socially disadvantaged.</w:t>
      </w:r>
    </w:p>
    <w:p w:rsidR="007A59C3" w:rsidRDefault="00197BD7">
      <w:pPr>
        <w:numPr>
          <w:ilvl w:val="0"/>
          <w:numId w:val="2"/>
        </w:num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Pupil Premium funding will be allocated following a needs analysis which will identify priority groups or individuals. Limited funding an</w:t>
      </w:r>
      <w:r>
        <w:rPr>
          <w:rFonts w:ascii="Calibri" w:eastAsia="Calibri" w:hAnsi="Calibri" w:cs="Calibri"/>
          <w:color w:val="000000"/>
          <w:sz w:val="22"/>
          <w:szCs w:val="22"/>
        </w:rPr>
        <w:t>d resources means that not all children receiving free school meals will be in receipt of pupil premium interventions at one time.</w:t>
      </w:r>
    </w:p>
    <w:p w:rsidR="007A59C3" w:rsidRDefault="00197BD7">
      <w:pPr>
        <w:pStyle w:val="Heading1"/>
      </w:pPr>
      <w:bookmarkStart w:id="1" w:name="_heading=h.3p894xn8w16a" w:colFirst="0" w:colLast="0"/>
      <w:bookmarkEnd w:id="1"/>
      <w:r>
        <w:lastRenderedPageBreak/>
        <w:t>Pupil premium strategy statement</w:t>
      </w:r>
    </w:p>
    <w:p w:rsidR="007A59C3" w:rsidRDefault="00197BD7">
      <w:pPr>
        <w:pStyle w:val="Heading2"/>
        <w:rPr>
          <w:b w:val="0"/>
          <w:color w:val="000000"/>
          <w:sz w:val="24"/>
          <w:szCs w:val="24"/>
        </w:rPr>
      </w:pPr>
      <w:r>
        <w:rPr>
          <w:b w:val="0"/>
          <w:color w:val="000000"/>
          <w:sz w:val="24"/>
          <w:szCs w:val="24"/>
        </w:rPr>
        <w:t xml:space="preserve">This statement details our school’s use of pupil premium (and recovery premium for the 2021 </w:t>
      </w:r>
      <w:r>
        <w:rPr>
          <w:b w:val="0"/>
          <w:color w:val="000000"/>
          <w:sz w:val="24"/>
          <w:szCs w:val="24"/>
        </w:rPr>
        <w:t xml:space="preserve">to 2022 academic year) funding to help improve the attainment of our disadvantaged pupils. </w:t>
      </w:r>
    </w:p>
    <w:p w:rsidR="007A59C3" w:rsidRDefault="00197BD7">
      <w:pPr>
        <w:pStyle w:val="Heading2"/>
        <w:spacing w:before="240"/>
        <w:rPr>
          <w:b w:val="0"/>
          <w:color w:val="000000"/>
          <w:sz w:val="24"/>
          <w:szCs w:val="24"/>
        </w:rPr>
      </w:pPr>
      <w:r>
        <w:rPr>
          <w:b w:val="0"/>
          <w:color w:val="000000"/>
          <w:sz w:val="24"/>
          <w:szCs w:val="24"/>
        </w:rPr>
        <w:t>It outlines our pupil premium strategy, how we intend to spend the funding in this academic year and the effect that last year’s spending of pupil premium had withi</w:t>
      </w:r>
      <w:r>
        <w:rPr>
          <w:b w:val="0"/>
          <w:color w:val="000000"/>
          <w:sz w:val="24"/>
          <w:szCs w:val="24"/>
        </w:rPr>
        <w:t xml:space="preserve">n our school. </w:t>
      </w:r>
    </w:p>
    <w:p w:rsidR="007A59C3" w:rsidRDefault="00197BD7">
      <w:pPr>
        <w:pStyle w:val="Heading2"/>
      </w:pPr>
      <w:r>
        <w:t>School overview</w:t>
      </w:r>
    </w:p>
    <w:tbl>
      <w:tblPr>
        <w:tblStyle w:val="afff6"/>
        <w:tblW w:w="9486" w:type="dxa"/>
        <w:tblLayout w:type="fixed"/>
        <w:tblLook w:val="0400" w:firstRow="0" w:lastRow="0" w:firstColumn="0" w:lastColumn="0" w:noHBand="0" w:noVBand="1"/>
      </w:tblPr>
      <w:tblGrid>
        <w:gridCol w:w="6517"/>
        <w:gridCol w:w="2969"/>
      </w:tblGrid>
      <w:tr w:rsidR="007A59C3">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rPr>
                <w:b/>
              </w:rPr>
            </w:pPr>
            <w:r>
              <w:rPr>
                <w:b/>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rPr>
                <w:b/>
              </w:rPr>
            </w:pPr>
            <w:r>
              <w:rPr>
                <w:b/>
              </w:rPr>
              <w:t>Data</w:t>
            </w:r>
          </w:p>
        </w:tc>
      </w:tr>
      <w:tr w:rsidR="007A59C3">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pPr>
            <w:r>
              <w:t>St Mary’s Catholic First School  Dorchester</w:t>
            </w:r>
          </w:p>
        </w:tc>
      </w:tr>
      <w:tr w:rsidR="007A59C3">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pPr>
            <w:r>
              <w:t xml:space="preserve">150 ( 32 PS) </w:t>
            </w:r>
          </w:p>
        </w:tc>
      </w:tr>
      <w:tr w:rsidR="007A59C3">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pPr>
            <w:r>
              <w:t>18 chn 12%</w:t>
            </w:r>
          </w:p>
        </w:tc>
      </w:tr>
      <w:tr w:rsidR="007A59C3">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pPr>
            <w:r>
              <w:t xml:space="preserve">Academic year/years that our current pupil premium strategy plan covers </w:t>
            </w:r>
            <w:r>
              <w:rPr>
                <w:b/>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pPr>
            <w:r>
              <w:t>2022-2025</w:t>
            </w:r>
          </w:p>
        </w:tc>
      </w:tr>
      <w:tr w:rsidR="007A59C3">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pPr>
            <w: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pPr>
            <w:r>
              <w:t>31.10.24</w:t>
            </w:r>
          </w:p>
        </w:tc>
      </w:tr>
      <w:tr w:rsidR="007A59C3">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pPr>
            <w: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right="57"/>
            </w:pPr>
            <w:r>
              <w:t>March 25</w:t>
            </w:r>
          </w:p>
        </w:tc>
      </w:tr>
      <w:tr w:rsidR="007A59C3">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pPr>
            <w:r>
              <w:t>Paula Fearn, Executive  Headteacher</w:t>
            </w:r>
          </w:p>
        </w:tc>
      </w:tr>
      <w:tr w:rsidR="007A59C3">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pPr>
            <w:r>
              <w:t>Paula Fearn, Executive EHeadteacher</w:t>
            </w:r>
          </w:p>
        </w:tc>
      </w:tr>
      <w:tr w:rsidR="007A59C3">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pPr>
            <w: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pPr>
            <w:r>
              <w:t xml:space="preserve">Helen Johnston </w:t>
            </w:r>
          </w:p>
        </w:tc>
      </w:tr>
    </w:tbl>
    <w:p w:rsidR="007A59C3" w:rsidRDefault="00197BD7">
      <w:pPr>
        <w:spacing w:before="480" w:line="240" w:lineRule="auto"/>
        <w:rPr>
          <w:b/>
          <w:color w:val="104F75"/>
          <w:sz w:val="32"/>
          <w:szCs w:val="32"/>
        </w:rPr>
      </w:pPr>
      <w:r>
        <w:rPr>
          <w:b/>
          <w:color w:val="104F75"/>
          <w:sz w:val="32"/>
          <w:szCs w:val="32"/>
        </w:rPr>
        <w:t>Funding overview</w:t>
      </w:r>
    </w:p>
    <w:tbl>
      <w:tblPr>
        <w:tblStyle w:val="afff7"/>
        <w:tblW w:w="9486" w:type="dxa"/>
        <w:tblLayout w:type="fixed"/>
        <w:tblLook w:val="0400" w:firstRow="0" w:lastRow="0" w:firstColumn="0" w:lastColumn="0" w:noHBand="0" w:noVBand="1"/>
      </w:tblPr>
      <w:tblGrid>
        <w:gridCol w:w="6516"/>
        <w:gridCol w:w="2970"/>
      </w:tblGrid>
      <w:tr w:rsidR="007A59C3">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7A59C3" w:rsidRDefault="00197BD7">
            <w:pPr>
              <w:pBdr>
                <w:top w:val="nil"/>
                <w:left w:val="nil"/>
                <w:bottom w:val="nil"/>
                <w:right w:val="nil"/>
                <w:between w:val="nil"/>
              </w:pBdr>
              <w:spacing w:before="60" w:after="60" w:line="240" w:lineRule="auto"/>
              <w:ind w:left="57" w:right="57"/>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7A59C3" w:rsidRDefault="00197BD7">
            <w:pPr>
              <w:pBdr>
                <w:top w:val="nil"/>
                <w:left w:val="nil"/>
                <w:bottom w:val="nil"/>
                <w:right w:val="nil"/>
                <w:between w:val="nil"/>
              </w:pBdr>
              <w:spacing w:before="60" w:after="60" w:line="240" w:lineRule="auto"/>
              <w:ind w:left="57" w:right="57"/>
            </w:pPr>
            <w:r>
              <w:rPr>
                <w:b/>
              </w:rPr>
              <w:t>Amount</w:t>
            </w:r>
          </w:p>
        </w:tc>
      </w:tr>
      <w:tr w:rsidR="007A59C3">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C3" w:rsidRDefault="00197BD7">
            <w:pPr>
              <w:pBdr>
                <w:top w:val="nil"/>
                <w:left w:val="nil"/>
                <w:bottom w:val="nil"/>
                <w:right w:val="nil"/>
                <w:between w:val="nil"/>
              </w:pBdr>
              <w:spacing w:before="60" w:after="60" w:line="240" w:lineRule="auto"/>
              <w:ind w:left="57" w:right="57"/>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pPr>
            <w:r>
              <w:t>£</w:t>
            </w:r>
            <w:r>
              <w:rPr>
                <w:color w:val="222222"/>
                <w:sz w:val="22"/>
                <w:szCs w:val="22"/>
                <w:highlight w:val="white"/>
              </w:rPr>
              <w:t>20, 720</w:t>
            </w:r>
          </w:p>
        </w:tc>
      </w:tr>
      <w:tr w:rsidR="007A59C3">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C3" w:rsidRDefault="00197BD7">
            <w:pPr>
              <w:pBdr>
                <w:top w:val="nil"/>
                <w:left w:val="nil"/>
                <w:bottom w:val="nil"/>
                <w:right w:val="nil"/>
                <w:between w:val="nil"/>
              </w:pBdr>
              <w:spacing w:before="60" w:after="60" w:line="240" w:lineRule="auto"/>
              <w:ind w:left="57" w:right="57"/>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right="57"/>
            </w:pPr>
            <w:r>
              <w:t>0</w:t>
            </w:r>
          </w:p>
        </w:tc>
      </w:tr>
      <w:tr w:rsidR="007A59C3">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C3" w:rsidRDefault="00197BD7">
            <w:pPr>
              <w:pBdr>
                <w:top w:val="nil"/>
                <w:left w:val="nil"/>
                <w:bottom w:val="nil"/>
                <w:right w:val="nil"/>
                <w:between w:val="nil"/>
              </w:pBdr>
              <w:spacing w:before="60" w:after="60" w:line="240" w:lineRule="auto"/>
              <w:ind w:left="57" w:right="57"/>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pPr>
            <w:r>
              <w:t>£0</w:t>
            </w:r>
          </w:p>
        </w:tc>
      </w:tr>
      <w:tr w:rsidR="007A59C3">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rPr>
                <w:b/>
              </w:rPr>
            </w:pPr>
            <w:r>
              <w:rPr>
                <w:b/>
              </w:rPr>
              <w:t>Total budget for this academic year</w:t>
            </w:r>
          </w:p>
          <w:p w:rsidR="007A59C3" w:rsidRDefault="00197BD7">
            <w:pPr>
              <w:pBdr>
                <w:top w:val="nil"/>
                <w:left w:val="nil"/>
                <w:bottom w:val="nil"/>
                <w:right w:val="nil"/>
                <w:between w:val="nil"/>
              </w:pBdr>
              <w:spacing w:before="60" w:after="60" w:line="240" w:lineRule="auto"/>
              <w:ind w:left="57" w:right="57"/>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pPr>
            <w:r>
              <w:t>£</w:t>
            </w:r>
            <w:r>
              <w:t>20,720</w:t>
            </w:r>
          </w:p>
        </w:tc>
      </w:tr>
    </w:tbl>
    <w:p w:rsidR="007A59C3" w:rsidRDefault="00197BD7">
      <w:pPr>
        <w:pStyle w:val="Heading1"/>
      </w:pPr>
      <w:r>
        <w:lastRenderedPageBreak/>
        <w:t>Part A: Pupil premium strategy plan</w:t>
      </w:r>
    </w:p>
    <w:p w:rsidR="007A59C3" w:rsidRDefault="00197BD7">
      <w:pPr>
        <w:pStyle w:val="Heading2"/>
      </w:pPr>
      <w:bookmarkStart w:id="2" w:name="_heading=h.30j0zll" w:colFirst="0" w:colLast="0"/>
      <w:bookmarkEnd w:id="2"/>
      <w:r>
        <w:t>Statement of intent</w:t>
      </w:r>
    </w:p>
    <w:p w:rsidR="007A59C3" w:rsidRDefault="007A59C3"/>
    <w:tbl>
      <w:tblPr>
        <w:tblStyle w:val="afff8"/>
        <w:tblW w:w="8910" w:type="dxa"/>
        <w:tblBorders>
          <w:top w:val="nil"/>
          <w:left w:val="nil"/>
          <w:bottom w:val="nil"/>
          <w:right w:val="nil"/>
          <w:insideH w:val="nil"/>
          <w:insideV w:val="nil"/>
        </w:tblBorders>
        <w:tblLayout w:type="fixed"/>
        <w:tblLook w:val="0600" w:firstRow="0" w:lastRow="0" w:firstColumn="0" w:lastColumn="0" w:noHBand="1" w:noVBand="1"/>
      </w:tblPr>
      <w:tblGrid>
        <w:gridCol w:w="8910"/>
      </w:tblGrid>
      <w:tr w:rsidR="007A59C3">
        <w:trPr>
          <w:trHeight w:val="2450"/>
        </w:trPr>
        <w:tc>
          <w:tcPr>
            <w:tcW w:w="8910" w:type="dxa"/>
            <w:tcBorders>
              <w:top w:val="nil"/>
              <w:left w:val="nil"/>
              <w:bottom w:val="nil"/>
              <w:right w:val="nil"/>
            </w:tcBorders>
            <w:tcMar>
              <w:top w:w="100" w:type="dxa"/>
              <w:left w:w="180" w:type="dxa"/>
              <w:bottom w:w="100" w:type="dxa"/>
              <w:right w:w="180" w:type="dxa"/>
            </w:tcMar>
          </w:tcPr>
          <w:p w:rsidR="007A59C3" w:rsidRDefault="00197BD7">
            <w:pPr>
              <w:spacing w:before="120" w:after="120"/>
              <w:rPr>
                <w:i/>
              </w:rPr>
            </w:pPr>
            <w:r>
              <w:rPr>
                <w:i/>
              </w:rPr>
              <w:t>St Mary’s Catholic First School is a one form entry school which</w:t>
            </w:r>
            <w:r>
              <w:rPr>
                <w:i/>
              </w:rPr>
              <w:t xml:space="preserve"> has 13% children in receipt of Pupil Premium. We work collaboratively as part of DASP to ensure that all children from EYFS to Sixth form have access to a wide range of learning opportunities and strategies to support them to grow into successful adults t</w:t>
            </w:r>
            <w:r>
              <w:rPr>
                <w:i/>
              </w:rPr>
              <w:t>o work within the Dorchester community and beyond. We recognise the need to support the children fully by addressing barriers to learning and providing successful strategies which they can use throughout their adult lives.</w:t>
            </w:r>
          </w:p>
        </w:tc>
      </w:tr>
    </w:tbl>
    <w:p w:rsidR="007A59C3" w:rsidRDefault="007A59C3"/>
    <w:tbl>
      <w:tblPr>
        <w:tblStyle w:val="afff9"/>
        <w:tblW w:w="8910" w:type="dxa"/>
        <w:tblBorders>
          <w:top w:val="nil"/>
          <w:left w:val="nil"/>
          <w:bottom w:val="nil"/>
          <w:right w:val="nil"/>
          <w:insideH w:val="nil"/>
          <w:insideV w:val="nil"/>
        </w:tblBorders>
        <w:tblLayout w:type="fixed"/>
        <w:tblLook w:val="0600" w:firstRow="0" w:lastRow="0" w:firstColumn="0" w:lastColumn="0" w:noHBand="1" w:noVBand="1"/>
      </w:tblPr>
      <w:tblGrid>
        <w:gridCol w:w="8910"/>
      </w:tblGrid>
      <w:tr w:rsidR="007A59C3">
        <w:trPr>
          <w:trHeight w:val="4610"/>
        </w:trPr>
        <w:tc>
          <w:tcPr>
            <w:tcW w:w="8910" w:type="dxa"/>
            <w:tcBorders>
              <w:top w:val="nil"/>
              <w:left w:val="nil"/>
              <w:bottom w:val="nil"/>
              <w:right w:val="nil"/>
            </w:tcBorders>
            <w:tcMar>
              <w:top w:w="100" w:type="dxa"/>
              <w:left w:w="180" w:type="dxa"/>
              <w:bottom w:w="100" w:type="dxa"/>
              <w:right w:w="180" w:type="dxa"/>
            </w:tcMar>
          </w:tcPr>
          <w:p w:rsidR="007A59C3" w:rsidRDefault="00197BD7">
            <w:pPr>
              <w:spacing w:before="120" w:after="120"/>
              <w:rPr>
                <w:b/>
                <w:i/>
              </w:rPr>
            </w:pPr>
            <w:r>
              <w:rPr>
                <w:b/>
                <w:i/>
              </w:rPr>
              <w:t>Ultimate Objectives</w:t>
            </w:r>
          </w:p>
          <w:p w:rsidR="007A59C3" w:rsidRDefault="00197BD7">
            <w:pPr>
              <w:spacing w:before="120" w:after="120"/>
              <w:ind w:left="720"/>
              <w:rPr>
                <w:b/>
                <w:i/>
              </w:rPr>
            </w:pPr>
            <w:r>
              <w:rPr>
                <w:b/>
              </w:rPr>
              <w:t>·</w:t>
            </w:r>
            <w:r>
              <w:rPr>
                <w:rFonts w:ascii="Times New Roman" w:eastAsia="Times New Roman" w:hAnsi="Times New Roman" w:cs="Times New Roman"/>
                <w:b/>
                <w:sz w:val="14"/>
                <w:szCs w:val="14"/>
              </w:rPr>
              <w:t xml:space="preserve">         </w:t>
            </w:r>
            <w:r>
              <w:rPr>
                <w:b/>
                <w:i/>
              </w:rPr>
              <w:t>To ensure the children have a sense of understanding of their place in our school community and wider community they live within in Dorchester.</w:t>
            </w:r>
          </w:p>
          <w:p w:rsidR="007A59C3" w:rsidRDefault="00197BD7">
            <w:pPr>
              <w:spacing w:before="120" w:after="120"/>
              <w:ind w:left="720"/>
              <w:rPr>
                <w:b/>
                <w:i/>
              </w:rPr>
            </w:pPr>
            <w:r>
              <w:rPr>
                <w:b/>
              </w:rPr>
              <w:t>·</w:t>
            </w:r>
            <w:r>
              <w:rPr>
                <w:rFonts w:ascii="Times New Roman" w:eastAsia="Times New Roman" w:hAnsi="Times New Roman" w:cs="Times New Roman"/>
                <w:b/>
                <w:sz w:val="14"/>
                <w:szCs w:val="14"/>
              </w:rPr>
              <w:t xml:space="preserve">         </w:t>
            </w:r>
            <w:r>
              <w:rPr>
                <w:b/>
                <w:i/>
              </w:rPr>
              <w:t>To narrow the attainment gap in Reading, Writing and Maths between disadvantaged and non – disadvantag</w:t>
            </w:r>
            <w:r>
              <w:rPr>
                <w:b/>
                <w:i/>
              </w:rPr>
              <w:t>ed children in school and nationally at EYFS and Year 2.</w:t>
            </w:r>
          </w:p>
          <w:p w:rsidR="007A59C3" w:rsidRDefault="00197BD7">
            <w:pPr>
              <w:spacing w:before="120" w:after="120"/>
              <w:ind w:left="720"/>
              <w:rPr>
                <w:b/>
                <w:i/>
              </w:rPr>
            </w:pPr>
            <w:r>
              <w:rPr>
                <w:b/>
              </w:rPr>
              <w:t>·</w:t>
            </w:r>
            <w:r>
              <w:rPr>
                <w:rFonts w:ascii="Times New Roman" w:eastAsia="Times New Roman" w:hAnsi="Times New Roman" w:cs="Times New Roman"/>
                <w:b/>
                <w:sz w:val="14"/>
                <w:szCs w:val="14"/>
              </w:rPr>
              <w:t xml:space="preserve">         </w:t>
            </w:r>
            <w:r>
              <w:rPr>
                <w:b/>
                <w:i/>
              </w:rPr>
              <w:t>To ensure all disadvantaged pupils make more than expected progress in Reading, Writing and Maths.</w:t>
            </w:r>
          </w:p>
          <w:p w:rsidR="007A59C3" w:rsidRDefault="00197BD7">
            <w:pPr>
              <w:spacing w:before="120" w:after="120"/>
              <w:ind w:left="720"/>
              <w:rPr>
                <w:b/>
                <w:i/>
              </w:rPr>
            </w:pPr>
            <w:r>
              <w:rPr>
                <w:b/>
              </w:rPr>
              <w:t>·</w:t>
            </w:r>
            <w:r>
              <w:rPr>
                <w:rFonts w:ascii="Times New Roman" w:eastAsia="Times New Roman" w:hAnsi="Times New Roman" w:cs="Times New Roman"/>
                <w:b/>
                <w:sz w:val="14"/>
                <w:szCs w:val="14"/>
              </w:rPr>
              <w:t xml:space="preserve">         </w:t>
            </w:r>
            <w:r>
              <w:rPr>
                <w:b/>
                <w:i/>
              </w:rPr>
              <w:t xml:space="preserve">Develop oracy skills and provide children with a wide and rich vocabulary which </w:t>
            </w:r>
            <w:r>
              <w:rPr>
                <w:b/>
                <w:i/>
              </w:rPr>
              <w:t>is seen in writing across the Curriculum.</w:t>
            </w:r>
          </w:p>
          <w:p w:rsidR="007A59C3" w:rsidRDefault="00197BD7">
            <w:pPr>
              <w:spacing w:before="120" w:after="120"/>
              <w:ind w:left="720"/>
              <w:rPr>
                <w:b/>
                <w:i/>
              </w:rPr>
            </w:pPr>
            <w:r>
              <w:rPr>
                <w:b/>
              </w:rPr>
              <w:t>·</w:t>
            </w:r>
            <w:r>
              <w:rPr>
                <w:rFonts w:ascii="Times New Roman" w:eastAsia="Times New Roman" w:hAnsi="Times New Roman" w:cs="Times New Roman"/>
                <w:b/>
                <w:sz w:val="14"/>
                <w:szCs w:val="14"/>
              </w:rPr>
              <w:t xml:space="preserve">         </w:t>
            </w:r>
            <w:r>
              <w:rPr>
                <w:b/>
                <w:i/>
              </w:rPr>
              <w:t xml:space="preserve">To offer disadvantaged children life experiences to enrich every learning opportunity; Author visits, extracurricular clubs, school trips, residentials, Forest school opportunities </w:t>
            </w:r>
          </w:p>
          <w:p w:rsidR="007A59C3" w:rsidRDefault="007A59C3">
            <w:pPr>
              <w:spacing w:before="120" w:after="120"/>
              <w:ind w:left="720"/>
              <w:rPr>
                <w:i/>
              </w:rPr>
            </w:pPr>
          </w:p>
          <w:p w:rsidR="007A59C3" w:rsidRDefault="007A59C3">
            <w:pPr>
              <w:spacing w:before="120" w:after="120"/>
              <w:ind w:left="720"/>
              <w:rPr>
                <w:i/>
              </w:rPr>
            </w:pPr>
          </w:p>
          <w:tbl>
            <w:tblPr>
              <w:tblStyle w:val="afffa"/>
              <w:tblW w:w="8550" w:type="dxa"/>
              <w:tblBorders>
                <w:top w:val="nil"/>
                <w:left w:val="nil"/>
                <w:bottom w:val="nil"/>
                <w:right w:val="nil"/>
                <w:insideH w:val="nil"/>
                <w:insideV w:val="nil"/>
              </w:tblBorders>
              <w:tblLayout w:type="fixed"/>
              <w:tblLook w:val="0600" w:firstRow="0" w:lastRow="0" w:firstColumn="0" w:lastColumn="0" w:noHBand="1" w:noVBand="1"/>
            </w:tblPr>
            <w:tblGrid>
              <w:gridCol w:w="8550"/>
            </w:tblGrid>
            <w:tr w:rsidR="007A59C3">
              <w:trPr>
                <w:trHeight w:val="5330"/>
              </w:trPr>
              <w:tc>
                <w:tcPr>
                  <w:tcW w:w="8550" w:type="dxa"/>
                  <w:tcBorders>
                    <w:top w:val="nil"/>
                    <w:left w:val="nil"/>
                    <w:bottom w:val="nil"/>
                    <w:right w:val="nil"/>
                  </w:tcBorders>
                  <w:tcMar>
                    <w:top w:w="100" w:type="dxa"/>
                    <w:left w:w="180" w:type="dxa"/>
                    <w:bottom w:w="100" w:type="dxa"/>
                    <w:right w:w="180" w:type="dxa"/>
                  </w:tcMar>
                </w:tcPr>
                <w:p w:rsidR="007A59C3" w:rsidRDefault="00197BD7">
                  <w:pPr>
                    <w:spacing w:before="120" w:after="120"/>
                    <w:rPr>
                      <w:b/>
                    </w:rPr>
                  </w:pPr>
                  <w:r>
                    <w:rPr>
                      <w:b/>
                    </w:rPr>
                    <w:lastRenderedPageBreak/>
                    <w:t>Achieving our object</w:t>
                  </w:r>
                  <w:r>
                    <w:rPr>
                      <w:b/>
                    </w:rPr>
                    <w:t>ives</w:t>
                  </w:r>
                </w:p>
                <w:p w:rsidR="007A59C3" w:rsidRDefault="00197BD7">
                  <w:pPr>
                    <w:spacing w:before="120" w:after="120"/>
                    <w:ind w:left="720"/>
                    <w:rPr>
                      <w:b/>
                    </w:rPr>
                  </w:pPr>
                  <w:r>
                    <w:rPr>
                      <w:b/>
                    </w:rPr>
                    <w:t>·</w:t>
                  </w:r>
                  <w:r>
                    <w:rPr>
                      <w:rFonts w:ascii="Times New Roman" w:eastAsia="Times New Roman" w:hAnsi="Times New Roman" w:cs="Times New Roman"/>
                      <w:b/>
                      <w:sz w:val="14"/>
                      <w:szCs w:val="14"/>
                    </w:rPr>
                    <w:t xml:space="preserve">         </w:t>
                  </w:r>
                  <w:r>
                    <w:rPr>
                      <w:b/>
                    </w:rPr>
                    <w:t>Quality first teaching across the curriculum, ensuring there are appropriate CPD opportunities for staff including support staff.</w:t>
                  </w:r>
                </w:p>
                <w:p w:rsidR="007A59C3" w:rsidRDefault="00197BD7">
                  <w:pPr>
                    <w:spacing w:before="120" w:after="120"/>
                    <w:ind w:left="720"/>
                    <w:rPr>
                      <w:b/>
                    </w:rPr>
                  </w:pPr>
                  <w:r>
                    <w:rPr>
                      <w:b/>
                    </w:rPr>
                    <w:t>·</w:t>
                  </w:r>
                  <w:r>
                    <w:rPr>
                      <w:rFonts w:ascii="Times New Roman" w:eastAsia="Times New Roman" w:hAnsi="Times New Roman" w:cs="Times New Roman"/>
                      <w:b/>
                      <w:sz w:val="14"/>
                      <w:szCs w:val="14"/>
                    </w:rPr>
                    <w:t xml:space="preserve">         </w:t>
                  </w:r>
                  <w:r>
                    <w:rPr>
                      <w:b/>
                    </w:rPr>
                    <w:t>1:1 and small group opportunities with the class teacher for pupil conferencing and working towards SMART goals.</w:t>
                  </w:r>
                </w:p>
                <w:p w:rsidR="007A59C3" w:rsidRDefault="00197BD7">
                  <w:pPr>
                    <w:spacing w:before="120" w:after="120"/>
                    <w:ind w:left="720"/>
                    <w:rPr>
                      <w:b/>
                    </w:rPr>
                  </w:pPr>
                  <w:r>
                    <w:rPr>
                      <w:b/>
                    </w:rPr>
                    <w:t>·</w:t>
                  </w:r>
                  <w:r>
                    <w:rPr>
                      <w:rFonts w:ascii="Times New Roman" w:eastAsia="Times New Roman" w:hAnsi="Times New Roman" w:cs="Times New Roman"/>
                      <w:b/>
                      <w:sz w:val="14"/>
                      <w:szCs w:val="14"/>
                    </w:rPr>
                    <w:t xml:space="preserve">         </w:t>
                  </w:r>
                  <w:r>
                    <w:rPr>
                      <w:b/>
                    </w:rPr>
                    <w:t>Small group and 1:1 targeted support  in Caterpillar group to build resilience and work on  Writing goals.</w:t>
                  </w:r>
                </w:p>
                <w:p w:rsidR="007A59C3" w:rsidRDefault="00197BD7">
                  <w:pPr>
                    <w:spacing w:before="120" w:after="120"/>
                    <w:ind w:left="720"/>
                    <w:rPr>
                      <w:b/>
                    </w:rPr>
                  </w:pPr>
                  <w:r>
                    <w:rPr>
                      <w:b/>
                    </w:rPr>
                    <w:t>·</w:t>
                  </w:r>
                  <w:r>
                    <w:rPr>
                      <w:rFonts w:ascii="Times New Roman" w:eastAsia="Times New Roman" w:hAnsi="Times New Roman" w:cs="Times New Roman"/>
                      <w:b/>
                      <w:sz w:val="14"/>
                      <w:szCs w:val="14"/>
                    </w:rPr>
                    <w:t xml:space="preserve">         </w:t>
                  </w:r>
                  <w:r>
                    <w:rPr>
                      <w:b/>
                    </w:rPr>
                    <w:t>Forest schools to build resilience, self confidence and a positive approach to school life and learning about our environment (ECO link)</w:t>
                  </w:r>
                </w:p>
                <w:p w:rsidR="007A59C3" w:rsidRDefault="00197BD7">
                  <w:pPr>
                    <w:spacing w:before="120" w:after="120"/>
                    <w:ind w:left="720"/>
                    <w:rPr>
                      <w:b/>
                    </w:rPr>
                  </w:pPr>
                  <w:r>
                    <w:rPr>
                      <w:b/>
                    </w:rPr>
                    <w:t>·</w:t>
                  </w:r>
                  <w:r>
                    <w:rPr>
                      <w:rFonts w:ascii="Times New Roman" w:eastAsia="Times New Roman" w:hAnsi="Times New Roman" w:cs="Times New Roman"/>
                      <w:b/>
                      <w:sz w:val="14"/>
                      <w:szCs w:val="14"/>
                    </w:rPr>
                    <w:t xml:space="preserve">         </w:t>
                  </w:r>
                  <w:r>
                    <w:rPr>
                      <w:b/>
                    </w:rPr>
                    <w:t>Increased opportunities for children to attend extra- curricular clubs in school for eg Singing &amp; Creative wr</w:t>
                  </w:r>
                  <w:r>
                    <w:rPr>
                      <w:b/>
                    </w:rPr>
                    <w:t>iting Residential Trips.</w:t>
                  </w:r>
                </w:p>
                <w:p w:rsidR="007A59C3" w:rsidRDefault="00197BD7">
                  <w:pPr>
                    <w:spacing w:before="120" w:after="120"/>
                    <w:ind w:left="720"/>
                    <w:rPr>
                      <w:b/>
                    </w:rPr>
                  </w:pPr>
                  <w:r>
                    <w:rPr>
                      <w:b/>
                    </w:rPr>
                    <w:t xml:space="preserve">Increased opportunities for pupil to have the opportunity to learn and play a musical instrument </w:t>
                  </w:r>
                </w:p>
                <w:p w:rsidR="007A59C3" w:rsidRDefault="00197BD7">
                  <w:pPr>
                    <w:spacing w:before="120" w:after="120"/>
                    <w:ind w:left="720"/>
                    <w:rPr>
                      <w:b/>
                    </w:rPr>
                  </w:pPr>
                  <w:r>
                    <w:rPr>
                      <w:b/>
                    </w:rPr>
                    <w:t>·</w:t>
                  </w:r>
                  <w:r>
                    <w:rPr>
                      <w:rFonts w:ascii="Times New Roman" w:eastAsia="Times New Roman" w:hAnsi="Times New Roman" w:cs="Times New Roman"/>
                      <w:b/>
                      <w:sz w:val="14"/>
                      <w:szCs w:val="14"/>
                    </w:rPr>
                    <w:t xml:space="preserve">         </w:t>
                  </w:r>
                  <w:r>
                    <w:rPr>
                      <w:b/>
                    </w:rPr>
                    <w:t>Additional opportunities for wellbeing support; Trick box, ELSA, Sensory, Nurture and TIS sessons</w:t>
                  </w:r>
                </w:p>
              </w:tc>
            </w:tr>
          </w:tbl>
          <w:p w:rsidR="007A59C3" w:rsidRDefault="00197BD7">
            <w:pPr>
              <w:spacing w:before="120" w:after="120"/>
              <w:ind w:left="720"/>
              <w:rPr>
                <w:b/>
              </w:rPr>
            </w:pPr>
            <w:r>
              <w:rPr>
                <w:b/>
              </w:rPr>
              <w:t>Small group support: Fir</w:t>
            </w:r>
            <w:r>
              <w:rPr>
                <w:b/>
              </w:rPr>
              <w:t>st Class@ Number, Number sense.</w:t>
            </w:r>
          </w:p>
        </w:tc>
      </w:tr>
    </w:tbl>
    <w:p w:rsidR="007A59C3" w:rsidRDefault="007A59C3">
      <w:pPr>
        <w:pStyle w:val="Heading2"/>
        <w:spacing w:before="600"/>
      </w:pPr>
    </w:p>
    <w:p w:rsidR="007A59C3" w:rsidRDefault="007A59C3"/>
    <w:p w:rsidR="007A59C3" w:rsidRDefault="007A59C3">
      <w:pPr>
        <w:pStyle w:val="Heading2"/>
        <w:spacing w:before="600"/>
      </w:pPr>
    </w:p>
    <w:p w:rsidR="007A59C3" w:rsidRDefault="007A59C3">
      <w:pPr>
        <w:pStyle w:val="Heading2"/>
        <w:spacing w:before="600"/>
      </w:pPr>
    </w:p>
    <w:p w:rsidR="007A59C3" w:rsidRDefault="007A59C3">
      <w:pPr>
        <w:pStyle w:val="Heading2"/>
        <w:spacing w:before="600"/>
      </w:pPr>
    </w:p>
    <w:p w:rsidR="007A59C3" w:rsidRDefault="007A59C3">
      <w:pPr>
        <w:pStyle w:val="Heading2"/>
        <w:spacing w:before="600"/>
      </w:pPr>
    </w:p>
    <w:p w:rsidR="007A59C3" w:rsidRDefault="00197BD7">
      <w:pPr>
        <w:pStyle w:val="Heading2"/>
        <w:spacing w:before="600"/>
      </w:pPr>
      <w:r>
        <w:t>Challenges</w:t>
      </w:r>
    </w:p>
    <w:p w:rsidR="007A59C3" w:rsidRDefault="00197BD7">
      <w:pPr>
        <w:spacing w:before="120" w:line="240" w:lineRule="auto"/>
      </w:pPr>
      <w:r>
        <w:rPr>
          <w:color w:val="000000"/>
        </w:rPr>
        <w:t>This details the key challenges to achievement that we have identified among our disadvantaged pupils.</w:t>
      </w:r>
    </w:p>
    <w:tbl>
      <w:tblPr>
        <w:tblStyle w:val="afffb"/>
        <w:tblW w:w="9486" w:type="dxa"/>
        <w:tblLayout w:type="fixed"/>
        <w:tblLook w:val="0400" w:firstRow="0" w:lastRow="0" w:firstColumn="0" w:lastColumn="0" w:noHBand="0" w:noVBand="1"/>
      </w:tblPr>
      <w:tblGrid>
        <w:gridCol w:w="1477"/>
        <w:gridCol w:w="8009"/>
      </w:tblGrid>
      <w:tr w:rsidR="007A59C3">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rPr>
                <w:b/>
              </w:rPr>
            </w:pPr>
            <w:r>
              <w:rPr>
                <w:b/>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rPr>
                <w:b/>
              </w:rPr>
            </w:pPr>
            <w:r>
              <w:rPr>
                <w:b/>
              </w:rPr>
              <w:t xml:space="preserve">Detail of challenge </w:t>
            </w:r>
          </w:p>
        </w:tc>
      </w:tr>
      <w:tr w:rsidR="007A59C3">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rPr>
                <w:sz w:val="22"/>
                <w:szCs w:val="22"/>
              </w:rPr>
            </w:pPr>
            <w:r>
              <w:rPr>
                <w:sz w:val="22"/>
                <w:szCs w:val="22"/>
              </w:rPr>
              <w:t>1</w:t>
            </w:r>
          </w:p>
        </w:tc>
        <w:tc>
          <w:tcPr>
            <w:tcW w:w="8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59C3" w:rsidRDefault="00197BD7">
            <w:pPr>
              <w:spacing w:before="240" w:line="240" w:lineRule="auto"/>
              <w:rPr>
                <w:sz w:val="20"/>
                <w:szCs w:val="20"/>
              </w:rPr>
            </w:pPr>
            <w:r>
              <w:rPr>
                <w:sz w:val="20"/>
                <w:szCs w:val="20"/>
              </w:rPr>
              <w:t xml:space="preserve"> Attainment and progress in Reading, Writing and Maths</w:t>
            </w:r>
          </w:p>
        </w:tc>
      </w:tr>
      <w:tr w:rsidR="007A59C3">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rPr>
                <w:sz w:val="22"/>
                <w:szCs w:val="22"/>
              </w:rPr>
            </w:pPr>
            <w:r>
              <w:rPr>
                <w:sz w:val="22"/>
                <w:szCs w:val="22"/>
              </w:rPr>
              <w:t>2</w:t>
            </w:r>
          </w:p>
        </w:tc>
        <w:tc>
          <w:tcPr>
            <w:tcW w:w="80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59C3" w:rsidRDefault="00197BD7">
            <w:pPr>
              <w:spacing w:before="240" w:line="240" w:lineRule="auto"/>
              <w:rPr>
                <w:color w:val="000000"/>
                <w:sz w:val="18"/>
                <w:szCs w:val="18"/>
              </w:rPr>
            </w:pPr>
            <w:r>
              <w:rPr>
                <w:color w:val="000000"/>
                <w:sz w:val="18"/>
                <w:szCs w:val="18"/>
              </w:rPr>
              <w:t>39% of children in receipt of PP are also on the schools SEN register with additional needs which include Speech &amp; Language support from external agencies</w:t>
            </w:r>
          </w:p>
        </w:tc>
      </w:tr>
      <w:tr w:rsidR="007A59C3">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rPr>
                <w:sz w:val="22"/>
                <w:szCs w:val="22"/>
              </w:rPr>
            </w:pPr>
            <w:r>
              <w:rPr>
                <w:sz w:val="22"/>
                <w:szCs w:val="22"/>
              </w:rPr>
              <w:t>3</w:t>
            </w:r>
          </w:p>
        </w:tc>
        <w:tc>
          <w:tcPr>
            <w:tcW w:w="80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59C3" w:rsidRDefault="00197BD7">
            <w:pPr>
              <w:spacing w:before="240" w:line="240" w:lineRule="auto"/>
              <w:rPr>
                <w:color w:val="000000"/>
                <w:sz w:val="18"/>
                <w:szCs w:val="18"/>
              </w:rPr>
            </w:pPr>
            <w:r>
              <w:rPr>
                <w:color w:val="000000"/>
                <w:sz w:val="18"/>
                <w:szCs w:val="18"/>
              </w:rPr>
              <w:t>Low aspiration from Parents and lack of engagement to help their child with learning ( Evidence is taken  from Trauma Informed Schools, ACES)  21% families receive regular ongoing support at TAF level.</w:t>
            </w:r>
          </w:p>
        </w:tc>
      </w:tr>
      <w:tr w:rsidR="007A59C3">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rPr>
                <w:sz w:val="22"/>
                <w:szCs w:val="22"/>
              </w:rPr>
            </w:pPr>
            <w:bookmarkStart w:id="3" w:name="_heading=h.1fob9te" w:colFirst="0" w:colLast="0"/>
            <w:bookmarkEnd w:id="3"/>
            <w:r>
              <w:rPr>
                <w:sz w:val="22"/>
                <w:szCs w:val="22"/>
              </w:rPr>
              <w:t>4</w:t>
            </w:r>
          </w:p>
        </w:tc>
        <w:tc>
          <w:tcPr>
            <w:tcW w:w="80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59C3" w:rsidRDefault="00197BD7">
            <w:pPr>
              <w:spacing w:before="240" w:line="240" w:lineRule="auto"/>
              <w:rPr>
                <w:color w:val="000000"/>
                <w:sz w:val="18"/>
                <w:szCs w:val="18"/>
              </w:rPr>
            </w:pPr>
            <w:r>
              <w:rPr>
                <w:color w:val="000000"/>
                <w:sz w:val="18"/>
                <w:szCs w:val="18"/>
              </w:rPr>
              <w:t>Lack or resilience and low emotional intelligence i</w:t>
            </w:r>
            <w:r>
              <w:rPr>
                <w:color w:val="000000"/>
                <w:sz w:val="18"/>
                <w:szCs w:val="18"/>
              </w:rPr>
              <w:t>dentified in  39% children in receipt of PP</w:t>
            </w:r>
          </w:p>
        </w:tc>
      </w:tr>
    </w:tbl>
    <w:p w:rsidR="007A59C3" w:rsidRDefault="00197BD7">
      <w:pPr>
        <w:pStyle w:val="Heading2"/>
        <w:spacing w:before="600"/>
      </w:pPr>
      <w:r>
        <w:t xml:space="preserve">Intended outcomes </w:t>
      </w:r>
    </w:p>
    <w:p w:rsidR="007A59C3" w:rsidRDefault="00197BD7">
      <w:r>
        <w:rPr>
          <w:color w:val="000000"/>
        </w:rPr>
        <w:t xml:space="preserve">This explains the outcomes we are aiming for </w:t>
      </w:r>
      <w:r>
        <w:rPr>
          <w:b/>
          <w:color w:val="000000"/>
        </w:rPr>
        <w:t>by the end of our current strategy plan</w:t>
      </w:r>
      <w:r>
        <w:rPr>
          <w:color w:val="000000"/>
        </w:rPr>
        <w:t>, and how we will measure whether they have been achieved.</w:t>
      </w:r>
    </w:p>
    <w:tbl>
      <w:tblPr>
        <w:tblStyle w:val="afffc"/>
        <w:tblW w:w="9486" w:type="dxa"/>
        <w:tblLayout w:type="fixed"/>
        <w:tblLook w:val="0400" w:firstRow="0" w:lastRow="0" w:firstColumn="0" w:lastColumn="0" w:noHBand="0" w:noVBand="1"/>
      </w:tblPr>
      <w:tblGrid>
        <w:gridCol w:w="4815"/>
        <w:gridCol w:w="4671"/>
      </w:tblGrid>
      <w:tr w:rsidR="007A59C3">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rPr>
                <w:b/>
              </w:rPr>
            </w:pPr>
            <w:r>
              <w:rPr>
                <w:b/>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rPr>
                <w:b/>
              </w:rPr>
            </w:pPr>
            <w:r>
              <w:rPr>
                <w:b/>
              </w:rPr>
              <w:t>Success criteria</w:t>
            </w:r>
          </w:p>
        </w:tc>
      </w:tr>
      <w:tr w:rsidR="007A59C3">
        <w:tc>
          <w:tcPr>
            <w:tcW w:w="4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59C3" w:rsidRDefault="00197BD7">
            <w:pPr>
              <w:spacing w:line="240" w:lineRule="auto"/>
              <w:rPr>
                <w:sz w:val="20"/>
                <w:szCs w:val="20"/>
              </w:rPr>
            </w:pPr>
            <w:r>
              <w:rPr>
                <w:sz w:val="20"/>
                <w:szCs w:val="20"/>
              </w:rPr>
              <w:t>All children make  accelerated progress in Reading, Writing and Maths from EYFS baseline.</w:t>
            </w:r>
          </w:p>
          <w:p w:rsidR="007A59C3" w:rsidRDefault="00197BD7">
            <w:pPr>
              <w:spacing w:line="240" w:lineRule="auto"/>
              <w:rPr>
                <w:sz w:val="20"/>
                <w:szCs w:val="20"/>
              </w:rPr>
            </w:pPr>
            <w:r>
              <w:rPr>
                <w:sz w:val="20"/>
                <w:szCs w:val="20"/>
              </w:rPr>
              <w:t>All children to pass the Year 1 Phonics check</w:t>
            </w:r>
          </w:p>
          <w:p w:rsidR="007A59C3" w:rsidRDefault="00197BD7">
            <w:pPr>
              <w:spacing w:line="240" w:lineRule="auto"/>
              <w:rPr>
                <w:sz w:val="20"/>
                <w:szCs w:val="20"/>
              </w:rPr>
            </w:pPr>
            <w:r>
              <w:rPr>
                <w:sz w:val="20"/>
                <w:szCs w:val="20"/>
              </w:rPr>
              <w:lastRenderedPageBreak/>
              <w:t>All children in Year 4 to pass the Multiplication check</w:t>
            </w:r>
          </w:p>
        </w:tc>
        <w:tc>
          <w:tcPr>
            <w:tcW w:w="467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A59C3" w:rsidRDefault="00197BD7">
            <w:pPr>
              <w:spacing w:before="240" w:line="240" w:lineRule="auto"/>
              <w:rPr>
                <w:sz w:val="20"/>
                <w:szCs w:val="20"/>
              </w:rPr>
            </w:pPr>
            <w:r>
              <w:rPr>
                <w:sz w:val="20"/>
                <w:szCs w:val="20"/>
              </w:rPr>
              <w:lastRenderedPageBreak/>
              <w:t>All children in receipt of PP from EYFS to Year 4 to make more t</w:t>
            </w:r>
            <w:r>
              <w:rPr>
                <w:sz w:val="20"/>
                <w:szCs w:val="20"/>
              </w:rPr>
              <w:t>han good progress from their starting points</w:t>
            </w:r>
          </w:p>
          <w:p w:rsidR="007A59C3" w:rsidRDefault="00197BD7">
            <w:pPr>
              <w:spacing w:before="240" w:line="240" w:lineRule="auto"/>
              <w:rPr>
                <w:sz w:val="20"/>
                <w:szCs w:val="20"/>
              </w:rPr>
            </w:pPr>
            <w:r>
              <w:rPr>
                <w:sz w:val="20"/>
                <w:szCs w:val="20"/>
              </w:rPr>
              <w:lastRenderedPageBreak/>
              <w:t>All children to reach national levels of attainment in line with their peers</w:t>
            </w:r>
          </w:p>
        </w:tc>
      </w:tr>
      <w:tr w:rsidR="007A59C3">
        <w:tc>
          <w:tcPr>
            <w:tcW w:w="4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59C3" w:rsidRDefault="00197BD7">
            <w:pPr>
              <w:spacing w:line="240" w:lineRule="auto"/>
              <w:rPr>
                <w:sz w:val="20"/>
                <w:szCs w:val="20"/>
              </w:rPr>
            </w:pPr>
            <w:r>
              <w:rPr>
                <w:sz w:val="20"/>
                <w:szCs w:val="20"/>
              </w:rPr>
              <w:lastRenderedPageBreak/>
              <w:t>Pupils will access a range of strategies in a positive way ( using PBL)</w:t>
            </w:r>
          </w:p>
          <w:p w:rsidR="007A59C3" w:rsidRDefault="00197BD7">
            <w:pPr>
              <w:spacing w:line="240" w:lineRule="auto"/>
              <w:ind w:left="1080" w:hanging="360"/>
              <w:rPr>
                <w:sz w:val="20"/>
                <w:szCs w:val="20"/>
              </w:rPr>
            </w:pPr>
            <w:r>
              <w:rPr>
                <w:sz w:val="20"/>
                <w:szCs w:val="20"/>
              </w:rPr>
              <w:t>·</w:t>
            </w:r>
            <w:r>
              <w:rPr>
                <w:rFonts w:ascii="Times New Roman" w:eastAsia="Times New Roman" w:hAnsi="Times New Roman" w:cs="Times New Roman"/>
                <w:sz w:val="12"/>
                <w:szCs w:val="12"/>
              </w:rPr>
              <w:t xml:space="preserve">       </w:t>
            </w:r>
            <w:r>
              <w:rPr>
                <w:sz w:val="20"/>
                <w:szCs w:val="20"/>
              </w:rPr>
              <w:t>Wellcomm programme  for identified for children from Preschool to Year 4</w:t>
            </w:r>
          </w:p>
          <w:p w:rsidR="007A59C3" w:rsidRDefault="00197BD7">
            <w:pPr>
              <w:spacing w:line="240" w:lineRule="auto"/>
              <w:ind w:left="1080" w:hanging="360"/>
              <w:rPr>
                <w:sz w:val="20"/>
                <w:szCs w:val="20"/>
              </w:rPr>
            </w:pPr>
            <w:r>
              <w:rPr>
                <w:sz w:val="20"/>
                <w:szCs w:val="20"/>
              </w:rPr>
              <w:t>·</w:t>
            </w:r>
            <w:r>
              <w:rPr>
                <w:rFonts w:ascii="Times New Roman" w:eastAsia="Times New Roman" w:hAnsi="Times New Roman" w:cs="Times New Roman"/>
                <w:sz w:val="12"/>
                <w:szCs w:val="12"/>
              </w:rPr>
              <w:t xml:space="preserve">         </w:t>
            </w:r>
            <w:r>
              <w:rPr>
                <w:sz w:val="20"/>
                <w:szCs w:val="20"/>
              </w:rPr>
              <w:t>Neli programme used for identified pupils in EYFS to support oracy development</w:t>
            </w:r>
          </w:p>
          <w:p w:rsidR="007A59C3" w:rsidRDefault="00197BD7">
            <w:pPr>
              <w:spacing w:line="240" w:lineRule="auto"/>
              <w:rPr>
                <w:sz w:val="20"/>
                <w:szCs w:val="20"/>
              </w:rPr>
            </w:pPr>
            <w:r>
              <w:rPr>
                <w:sz w:val="20"/>
                <w:szCs w:val="20"/>
              </w:rPr>
              <w:t xml:space="preserve">As a result of positive engagement through the delivery of programme identified children will </w:t>
            </w:r>
            <w:r>
              <w:rPr>
                <w:sz w:val="20"/>
                <w:szCs w:val="20"/>
              </w:rPr>
              <w:t>have developed an extended vocabulary which will be evidenced in their speech and writing.</w:t>
            </w:r>
          </w:p>
          <w:p w:rsidR="007A59C3" w:rsidRDefault="00197BD7">
            <w:pPr>
              <w:spacing w:line="240" w:lineRule="auto"/>
              <w:rPr>
                <w:sz w:val="20"/>
                <w:szCs w:val="20"/>
              </w:rPr>
            </w:pPr>
            <w:r>
              <w:rPr>
                <w:sz w:val="20"/>
                <w:szCs w:val="20"/>
              </w:rPr>
              <w:t xml:space="preserve">All PP children will make good progress in developing their oral vocabulary skills through participation in games &amp; full engagement in CAST oracy project </w:t>
            </w:r>
          </w:p>
          <w:p w:rsidR="007A59C3" w:rsidRDefault="00197BD7">
            <w:pPr>
              <w:spacing w:before="240" w:line="240" w:lineRule="auto"/>
              <w:rPr>
                <w:sz w:val="22"/>
                <w:szCs w:val="22"/>
              </w:rPr>
            </w:pPr>
            <w:r>
              <w:rPr>
                <w:sz w:val="22"/>
                <w:szCs w:val="22"/>
              </w:rPr>
              <w:t>Enhanced P</w:t>
            </w:r>
            <w:r>
              <w:rPr>
                <w:sz w:val="22"/>
                <w:szCs w:val="22"/>
              </w:rPr>
              <w:t>arental engagement -  Parents feel safe to engage with school</w:t>
            </w:r>
          </w:p>
          <w:p w:rsidR="007A59C3" w:rsidRDefault="00197BD7">
            <w:pPr>
              <w:spacing w:line="240" w:lineRule="auto"/>
              <w:rPr>
                <w:sz w:val="22"/>
                <w:szCs w:val="22"/>
              </w:rPr>
            </w:pPr>
            <w:r>
              <w:rPr>
                <w:sz w:val="22"/>
                <w:szCs w:val="22"/>
              </w:rPr>
              <w:t>Parents confidence is built and they have skills to support learning for their child at home</w:t>
            </w:r>
          </w:p>
          <w:p w:rsidR="007A59C3" w:rsidRDefault="007A59C3">
            <w:pPr>
              <w:spacing w:before="240" w:line="240" w:lineRule="auto"/>
              <w:rPr>
                <w:sz w:val="22"/>
                <w:szCs w:val="22"/>
              </w:rPr>
            </w:pPr>
          </w:p>
        </w:tc>
        <w:tc>
          <w:tcPr>
            <w:tcW w:w="4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59C3" w:rsidRDefault="00197BD7">
            <w:pPr>
              <w:spacing w:line="240" w:lineRule="auto"/>
              <w:rPr>
                <w:sz w:val="20"/>
                <w:szCs w:val="20"/>
              </w:rPr>
            </w:pPr>
            <w:r>
              <w:rPr>
                <w:sz w:val="20"/>
                <w:szCs w:val="20"/>
              </w:rPr>
              <w:t>Invite to targeted families for parental workshops to build confidence and upskill parents</w:t>
            </w:r>
          </w:p>
          <w:p w:rsidR="007A59C3" w:rsidRDefault="00197BD7">
            <w:pPr>
              <w:spacing w:line="240" w:lineRule="auto"/>
              <w:rPr>
                <w:sz w:val="20"/>
                <w:szCs w:val="20"/>
              </w:rPr>
            </w:pPr>
            <w:r>
              <w:rPr>
                <w:sz w:val="20"/>
                <w:szCs w:val="20"/>
              </w:rPr>
              <w:t xml:space="preserve">Parental </w:t>
            </w:r>
            <w:r>
              <w:rPr>
                <w:sz w:val="20"/>
                <w:szCs w:val="20"/>
              </w:rPr>
              <w:t>invite to Trickbox training to create “healthy family habits”</w:t>
            </w:r>
          </w:p>
          <w:p w:rsidR="007A59C3" w:rsidRDefault="00197BD7">
            <w:pPr>
              <w:spacing w:line="240" w:lineRule="auto"/>
              <w:rPr>
                <w:sz w:val="20"/>
                <w:szCs w:val="20"/>
              </w:rPr>
            </w:pPr>
            <w:r>
              <w:rPr>
                <w:sz w:val="20"/>
                <w:szCs w:val="20"/>
              </w:rPr>
              <w:t>Parental training on a 1:1 or small group to provide skills to support early reading, phonics and number.</w:t>
            </w:r>
          </w:p>
          <w:p w:rsidR="007A59C3" w:rsidRDefault="00197BD7">
            <w:pPr>
              <w:spacing w:line="240" w:lineRule="auto"/>
              <w:rPr>
                <w:sz w:val="20"/>
                <w:szCs w:val="20"/>
              </w:rPr>
            </w:pPr>
            <w:r>
              <w:rPr>
                <w:sz w:val="20"/>
                <w:szCs w:val="20"/>
              </w:rPr>
              <w:t>Parents invites to take part in Forest schools to develop positive relationships</w:t>
            </w:r>
          </w:p>
          <w:p w:rsidR="007A59C3" w:rsidRDefault="00197BD7">
            <w:pPr>
              <w:spacing w:line="240" w:lineRule="auto"/>
              <w:rPr>
                <w:sz w:val="20"/>
                <w:szCs w:val="20"/>
              </w:rPr>
            </w:pPr>
            <w:r>
              <w:rPr>
                <w:sz w:val="20"/>
                <w:szCs w:val="20"/>
              </w:rPr>
              <w:t>Use of “place of joy” to hold meetings in a comfortable, safe environment</w:t>
            </w:r>
          </w:p>
          <w:p w:rsidR="007A59C3" w:rsidRDefault="00197BD7">
            <w:pPr>
              <w:spacing w:before="240" w:line="240" w:lineRule="auto"/>
              <w:rPr>
                <w:sz w:val="22"/>
                <w:szCs w:val="22"/>
              </w:rPr>
            </w:pPr>
            <w:r>
              <w:rPr>
                <w:sz w:val="22"/>
                <w:szCs w:val="22"/>
              </w:rPr>
              <w:t xml:space="preserve"> </w:t>
            </w:r>
          </w:p>
        </w:tc>
      </w:tr>
      <w:tr w:rsidR="007A59C3">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spacing w:before="240" w:line="240" w:lineRule="auto"/>
              <w:rPr>
                <w:sz w:val="22"/>
                <w:szCs w:val="22"/>
              </w:rPr>
            </w:pPr>
            <w:r>
              <w:rPr>
                <w:sz w:val="22"/>
                <w:szCs w:val="22"/>
              </w:rPr>
              <w:t>Children make at least  good progress with their learning and are in a “just right state to learn”</w:t>
            </w:r>
          </w:p>
          <w:p w:rsidR="007A59C3" w:rsidRDefault="00197BD7">
            <w:pPr>
              <w:pBdr>
                <w:top w:val="nil"/>
                <w:left w:val="nil"/>
                <w:bottom w:val="nil"/>
                <w:right w:val="nil"/>
                <w:between w:val="nil"/>
              </w:pBdr>
              <w:spacing w:before="60" w:after="60" w:line="240" w:lineRule="auto"/>
              <w:ind w:left="57" w:right="57"/>
              <w:rPr>
                <w:sz w:val="22"/>
                <w:szCs w:val="22"/>
              </w:rPr>
            </w:pPr>
            <w:r>
              <w:t>Children have developed strategies in “support” time which they can use independently or with support to engage with learning within the classroom when faced with a challenge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spacing w:line="240" w:lineRule="auto"/>
              <w:rPr>
                <w:rFonts w:ascii="Times New Roman" w:eastAsia="Times New Roman" w:hAnsi="Times New Roman" w:cs="Times New Roman"/>
                <w:sz w:val="14"/>
                <w:szCs w:val="14"/>
              </w:rPr>
            </w:pPr>
            <w:r>
              <w:rPr>
                <w:sz w:val="22"/>
                <w:szCs w:val="22"/>
              </w:rPr>
              <w:t>Use of effective support strategies and intervention including mental wellbeing t</w:t>
            </w:r>
            <w:r>
              <w:rPr>
                <w:sz w:val="22"/>
                <w:szCs w:val="22"/>
              </w:rPr>
              <w:t>o ensure progress for PP children with additional learning needs</w:t>
            </w:r>
          </w:p>
          <w:p w:rsidR="007A59C3" w:rsidRDefault="00197BD7">
            <w:pPr>
              <w:numPr>
                <w:ilvl w:val="0"/>
                <w:numId w:val="1"/>
              </w:numPr>
              <w:spacing w:after="0" w:line="240" w:lineRule="auto"/>
            </w:pPr>
            <w:r>
              <w:rPr>
                <w:rFonts w:ascii="Times New Roman" w:eastAsia="Times New Roman" w:hAnsi="Times New Roman" w:cs="Times New Roman"/>
                <w:sz w:val="14"/>
                <w:szCs w:val="14"/>
              </w:rPr>
              <w:t xml:space="preserve"> </w:t>
            </w:r>
            <w:r>
              <w:rPr>
                <w:sz w:val="22"/>
                <w:szCs w:val="22"/>
              </w:rPr>
              <w:t>Trauma Informed school support</w:t>
            </w:r>
          </w:p>
          <w:p w:rsidR="007A59C3" w:rsidRDefault="00197BD7">
            <w:pPr>
              <w:numPr>
                <w:ilvl w:val="0"/>
                <w:numId w:val="1"/>
              </w:numPr>
              <w:spacing w:after="0" w:line="240" w:lineRule="auto"/>
            </w:pPr>
            <w:r>
              <w:rPr>
                <w:rFonts w:ascii="Times New Roman" w:eastAsia="Times New Roman" w:hAnsi="Times New Roman" w:cs="Times New Roman"/>
                <w:sz w:val="14"/>
                <w:szCs w:val="14"/>
              </w:rPr>
              <w:t xml:space="preserve">     </w:t>
            </w:r>
            <w:r>
              <w:rPr>
                <w:sz w:val="22"/>
                <w:szCs w:val="22"/>
              </w:rPr>
              <w:t>ELSA</w:t>
            </w:r>
          </w:p>
          <w:p w:rsidR="007A59C3" w:rsidRDefault="00197BD7">
            <w:pPr>
              <w:numPr>
                <w:ilvl w:val="0"/>
                <w:numId w:val="1"/>
              </w:numPr>
              <w:spacing w:after="0" w:line="240" w:lineRule="auto"/>
            </w:pPr>
            <w:r>
              <w:rPr>
                <w:rFonts w:ascii="Times New Roman" w:eastAsia="Times New Roman" w:hAnsi="Times New Roman" w:cs="Times New Roman"/>
                <w:sz w:val="14"/>
                <w:szCs w:val="14"/>
              </w:rPr>
              <w:t xml:space="preserve">   </w:t>
            </w:r>
            <w:r>
              <w:rPr>
                <w:sz w:val="22"/>
                <w:szCs w:val="22"/>
              </w:rPr>
              <w:t>Caterpillar group</w:t>
            </w:r>
          </w:p>
          <w:p w:rsidR="007A59C3" w:rsidRDefault="00197BD7">
            <w:pPr>
              <w:numPr>
                <w:ilvl w:val="0"/>
                <w:numId w:val="1"/>
              </w:numPr>
              <w:spacing w:after="0" w:line="240" w:lineRule="auto"/>
            </w:pPr>
            <w:r>
              <w:rPr>
                <w:sz w:val="22"/>
                <w:szCs w:val="22"/>
              </w:rPr>
              <w:t>Trickbox</w:t>
            </w:r>
          </w:p>
          <w:p w:rsidR="007A59C3" w:rsidRDefault="00197BD7">
            <w:pPr>
              <w:numPr>
                <w:ilvl w:val="0"/>
                <w:numId w:val="1"/>
              </w:numPr>
              <w:spacing w:line="240" w:lineRule="auto"/>
              <w:rPr>
                <w:sz w:val="22"/>
                <w:szCs w:val="22"/>
              </w:rPr>
            </w:pPr>
            <w:r>
              <w:rPr>
                <w:sz w:val="22"/>
                <w:szCs w:val="22"/>
              </w:rPr>
              <w:t>Reading dog</w:t>
            </w:r>
          </w:p>
        </w:tc>
      </w:tr>
      <w:tr w:rsidR="007A59C3">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7A59C3">
            <w:pPr>
              <w:pBdr>
                <w:top w:val="nil"/>
                <w:left w:val="nil"/>
                <w:bottom w:val="nil"/>
                <w:right w:val="nil"/>
                <w:between w:val="nil"/>
              </w:pBdr>
              <w:spacing w:before="60" w:after="60" w:line="240" w:lineRule="auto"/>
              <w:ind w:left="57" w:right="57"/>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7A59C3">
            <w:pPr>
              <w:pBdr>
                <w:top w:val="nil"/>
                <w:left w:val="nil"/>
                <w:bottom w:val="nil"/>
                <w:right w:val="nil"/>
                <w:between w:val="nil"/>
              </w:pBdr>
              <w:spacing w:before="60" w:after="60" w:line="240" w:lineRule="auto"/>
              <w:ind w:left="57" w:right="57"/>
              <w:rPr>
                <w:sz w:val="22"/>
                <w:szCs w:val="22"/>
              </w:rPr>
            </w:pPr>
          </w:p>
        </w:tc>
      </w:tr>
    </w:tbl>
    <w:p w:rsidR="007A59C3" w:rsidRDefault="007A59C3">
      <w:pPr>
        <w:pStyle w:val="Heading2"/>
      </w:pPr>
    </w:p>
    <w:p w:rsidR="007A59C3" w:rsidRDefault="00197BD7">
      <w:pPr>
        <w:spacing w:after="0" w:line="240" w:lineRule="auto"/>
        <w:rPr>
          <w:b/>
          <w:color w:val="104F75"/>
          <w:sz w:val="32"/>
          <w:szCs w:val="32"/>
        </w:rPr>
      </w:pPr>
      <w:r>
        <w:br w:type="page"/>
      </w:r>
    </w:p>
    <w:p w:rsidR="007A59C3" w:rsidRDefault="00197BD7">
      <w:pPr>
        <w:pStyle w:val="Heading2"/>
      </w:pPr>
      <w:r>
        <w:lastRenderedPageBreak/>
        <w:t>Activity in this academic year</w:t>
      </w:r>
    </w:p>
    <w:p w:rsidR="007A59C3" w:rsidRDefault="00197BD7">
      <w:pPr>
        <w:spacing w:after="480"/>
      </w:pPr>
      <w:r>
        <w:t xml:space="preserve">This details how we intend to spend our pupil premium (and recovery premium funding) </w:t>
      </w:r>
      <w:r>
        <w:rPr>
          <w:b/>
        </w:rPr>
        <w:t>this academic year</w:t>
      </w:r>
      <w:r>
        <w:t xml:space="preserve"> to address the challenges listed above.</w:t>
      </w:r>
    </w:p>
    <w:p w:rsidR="007A59C3" w:rsidRDefault="00197BD7">
      <w:pPr>
        <w:pStyle w:val="Heading3"/>
      </w:pPr>
      <w:r>
        <w:t>Teaching (for example, CPD, recruitment and retention)</w:t>
      </w:r>
    </w:p>
    <w:p w:rsidR="007A59C3" w:rsidRDefault="00197BD7">
      <w:pPr>
        <w:rPr>
          <w:b/>
        </w:rPr>
      </w:pPr>
      <w:r>
        <w:rPr>
          <w:b/>
        </w:rPr>
        <w:t xml:space="preserve">Budgeted cost: £ </w:t>
      </w:r>
      <w:r>
        <w:rPr>
          <w:b/>
          <w:i/>
        </w:rPr>
        <w:t>2,500</w:t>
      </w:r>
    </w:p>
    <w:tbl>
      <w:tblPr>
        <w:tblStyle w:val="afffd"/>
        <w:tblW w:w="9486" w:type="dxa"/>
        <w:tblLayout w:type="fixed"/>
        <w:tblLook w:val="0400" w:firstRow="0" w:lastRow="0" w:firstColumn="0" w:lastColumn="0" w:noHBand="0" w:noVBand="1"/>
      </w:tblPr>
      <w:tblGrid>
        <w:gridCol w:w="2688"/>
        <w:gridCol w:w="4254"/>
        <w:gridCol w:w="2544"/>
      </w:tblGrid>
      <w:tr w:rsidR="007A59C3">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rPr>
                <w:b/>
              </w:rPr>
            </w:pPr>
            <w:r>
              <w:rPr>
                <w:b/>
              </w:rPr>
              <w:t>Challenge number(s) addressed</w:t>
            </w:r>
          </w:p>
        </w:tc>
      </w:tr>
      <w:tr w:rsidR="007A59C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spacing w:before="240" w:line="240" w:lineRule="auto"/>
              <w:rPr>
                <w:sz w:val="22"/>
                <w:szCs w:val="22"/>
              </w:rPr>
            </w:pPr>
            <w:r>
              <w:rPr>
                <w:sz w:val="22"/>
                <w:szCs w:val="22"/>
              </w:rPr>
              <w:t>Ensure accelerated outcomes for reading across the school</w:t>
            </w:r>
          </w:p>
          <w:p w:rsidR="007A59C3" w:rsidRDefault="00197BD7">
            <w:pPr>
              <w:spacing w:before="240" w:line="240" w:lineRule="auto"/>
              <w:rPr>
                <w:sz w:val="22"/>
                <w:szCs w:val="22"/>
              </w:rPr>
            </w:pPr>
            <w:r>
              <w:rPr>
                <w:sz w:val="22"/>
                <w:szCs w:val="22"/>
              </w:rPr>
              <w:t>Year 3 of 3 investment in  RWI book bag books to match reading scheme books and support  RWI at home and in school</w:t>
            </w:r>
          </w:p>
          <w:p w:rsidR="007A59C3" w:rsidRDefault="00197BD7">
            <w:pPr>
              <w:spacing w:before="240" w:line="240" w:lineRule="auto"/>
              <w:rPr>
                <w:sz w:val="22"/>
                <w:szCs w:val="22"/>
              </w:rPr>
            </w:pPr>
            <w:r>
              <w:rPr>
                <w:sz w:val="22"/>
                <w:szCs w:val="22"/>
              </w:rPr>
              <w:t xml:space="preserve">Accelerated Reader for KS2 </w:t>
            </w:r>
          </w:p>
          <w:p w:rsidR="007A59C3" w:rsidRDefault="007A59C3">
            <w:pPr>
              <w:pBdr>
                <w:top w:val="nil"/>
                <w:left w:val="nil"/>
                <w:bottom w:val="nil"/>
                <w:right w:val="nil"/>
                <w:between w:val="nil"/>
              </w:pBdr>
              <w:spacing w:before="60" w:after="60" w:line="240" w:lineRule="auto"/>
              <w:ind w:left="57" w:right="57"/>
              <w:rPr>
                <w:i/>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spacing w:before="240" w:line="240" w:lineRule="auto"/>
              <w:rPr>
                <w:sz w:val="22"/>
                <w:szCs w:val="22"/>
              </w:rPr>
            </w:pPr>
            <w:r>
              <w:rPr>
                <w:sz w:val="22"/>
                <w:szCs w:val="22"/>
              </w:rPr>
              <w:t>Targeted support for early reading across KS1 and identified children in Year 3 and 4 to develop – reading, writing and vocabulary.</w:t>
            </w:r>
          </w:p>
          <w:p w:rsidR="007A59C3" w:rsidRDefault="00197BD7">
            <w:pPr>
              <w:pBdr>
                <w:top w:val="nil"/>
                <w:left w:val="nil"/>
                <w:bottom w:val="nil"/>
                <w:right w:val="nil"/>
                <w:between w:val="nil"/>
              </w:pBdr>
              <w:spacing w:before="60" w:after="60" w:line="240" w:lineRule="auto"/>
              <w:ind w:left="57" w:right="57"/>
              <w:rPr>
                <w:sz w:val="22"/>
                <w:szCs w:val="22"/>
              </w:rPr>
            </w:pPr>
            <w:r>
              <w:rPr>
                <w:sz w:val="22"/>
                <w:szCs w:val="22"/>
              </w:rPr>
              <w:t>Workshops/ 1:1 support for targeted families to increase parental engagement at home which allo</w:t>
            </w:r>
            <w:r>
              <w:rPr>
                <w:sz w:val="22"/>
                <w:szCs w:val="22"/>
              </w:rPr>
              <w:t>ws increased opportunities to develop a love of reading and a wider vocabulary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rPr>
                <w:sz w:val="22"/>
                <w:szCs w:val="22"/>
              </w:rPr>
            </w:pPr>
            <w:r>
              <w:rPr>
                <w:sz w:val="22"/>
                <w:szCs w:val="22"/>
              </w:rPr>
              <w:t>1, 2, 3, 4, 5</w:t>
            </w:r>
          </w:p>
        </w:tc>
      </w:tr>
      <w:tr w:rsidR="007A59C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spacing w:before="240" w:line="240" w:lineRule="auto"/>
              <w:rPr>
                <w:i/>
                <w:sz w:val="22"/>
                <w:szCs w:val="22"/>
              </w:rPr>
            </w:pPr>
            <w:r>
              <w:rPr>
                <w:i/>
                <w:sz w:val="22"/>
                <w:szCs w:val="22"/>
              </w:rPr>
              <w:t>Targeted use of  the Write Stuff plus Independent cross curricular writing to  improve  Year 3/3</w:t>
            </w:r>
          </w:p>
          <w:p w:rsidR="007A59C3" w:rsidRDefault="007A59C3">
            <w:pPr>
              <w:spacing w:before="60" w:after="60" w:line="240" w:lineRule="auto"/>
              <w:ind w:left="57" w:right="57"/>
              <w:rPr>
                <w:i/>
                <w:sz w:val="22"/>
                <w:szCs w:val="22"/>
              </w:rPr>
            </w:pPr>
          </w:p>
          <w:p w:rsidR="007A59C3" w:rsidRDefault="00197BD7">
            <w:pPr>
              <w:spacing w:before="240" w:line="240" w:lineRule="auto"/>
              <w:rPr>
                <w:i/>
                <w:sz w:val="22"/>
                <w:szCs w:val="22"/>
              </w:rPr>
            </w:pPr>
            <w:r>
              <w:rPr>
                <w:i/>
                <w:sz w:val="22"/>
                <w:szCs w:val="22"/>
              </w:rPr>
              <w:t>outcomes of writing throughout the school.</w:t>
            </w:r>
          </w:p>
          <w:p w:rsidR="007A59C3" w:rsidRDefault="00197BD7">
            <w:pPr>
              <w:spacing w:before="240" w:line="240" w:lineRule="auto"/>
              <w:rPr>
                <w:i/>
                <w:sz w:val="22"/>
                <w:szCs w:val="22"/>
              </w:rPr>
            </w:pPr>
            <w:r>
              <w:rPr>
                <w:i/>
                <w:sz w:val="22"/>
                <w:szCs w:val="22"/>
              </w:rPr>
              <w:t>CPD for all staff to improve outcomes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spacing w:before="240" w:line="240" w:lineRule="auto"/>
              <w:rPr>
                <w:sz w:val="22"/>
                <w:szCs w:val="22"/>
              </w:rPr>
            </w:pPr>
            <w:r>
              <w:rPr>
                <w:sz w:val="22"/>
                <w:szCs w:val="22"/>
              </w:rPr>
              <w:t>Although children’s writing is above the National Average there has been a decline in the 3 year trend.</w:t>
            </w:r>
          </w:p>
          <w:p w:rsidR="007A59C3" w:rsidRDefault="00197BD7">
            <w:pPr>
              <w:pBdr>
                <w:top w:val="nil"/>
                <w:left w:val="nil"/>
                <w:bottom w:val="nil"/>
                <w:right w:val="nil"/>
                <w:between w:val="nil"/>
              </w:pBdr>
              <w:spacing w:before="60" w:after="60" w:line="240" w:lineRule="auto"/>
              <w:ind w:left="57" w:right="57"/>
              <w:rPr>
                <w:sz w:val="22"/>
                <w:szCs w:val="22"/>
              </w:rPr>
            </w:pPr>
            <w:r>
              <w:rPr>
                <w:sz w:val="22"/>
                <w:szCs w:val="22"/>
              </w:rPr>
              <w:t>The write stuff  scheme focuses specifically on acquisition and development of language from EYFS with increased o</w:t>
            </w:r>
            <w:r>
              <w:rPr>
                <w:sz w:val="22"/>
                <w:szCs w:val="22"/>
              </w:rPr>
              <w:t>pportunities for oracy and the development of writing. Children have increased “talk time and chat time” to develop targeted language and connect ideas for writing.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rPr>
                <w:sz w:val="22"/>
                <w:szCs w:val="22"/>
              </w:rPr>
            </w:pPr>
            <w:r>
              <w:rPr>
                <w:sz w:val="22"/>
                <w:szCs w:val="22"/>
              </w:rPr>
              <w:t>1, 2, 3, 4</w:t>
            </w:r>
          </w:p>
        </w:tc>
      </w:tr>
    </w:tbl>
    <w:p w:rsidR="007A59C3" w:rsidRDefault="007A59C3">
      <w:pPr>
        <w:keepNext/>
        <w:spacing w:after="60"/>
      </w:pPr>
    </w:p>
    <w:p w:rsidR="007A59C3" w:rsidRDefault="00197BD7">
      <w:pPr>
        <w:rPr>
          <w:b/>
          <w:color w:val="104F75"/>
          <w:sz w:val="28"/>
          <w:szCs w:val="28"/>
        </w:rPr>
      </w:pPr>
      <w:r>
        <w:rPr>
          <w:b/>
          <w:color w:val="104F75"/>
          <w:sz w:val="28"/>
          <w:szCs w:val="28"/>
        </w:rPr>
        <w:t xml:space="preserve">Targeted academic support (for example, tutoring, one-to-one support structured interventions) </w:t>
      </w:r>
    </w:p>
    <w:p w:rsidR="007A59C3" w:rsidRDefault="00197BD7">
      <w:pPr>
        <w:rPr>
          <w:b/>
        </w:rPr>
      </w:pPr>
      <w:r>
        <w:rPr>
          <w:b/>
        </w:rPr>
        <w:t>Budgeted cost: £ 18,220</w:t>
      </w:r>
    </w:p>
    <w:tbl>
      <w:tblPr>
        <w:tblStyle w:val="afffe"/>
        <w:tblW w:w="9486" w:type="dxa"/>
        <w:tblLayout w:type="fixed"/>
        <w:tblLook w:val="0400" w:firstRow="0" w:lastRow="0" w:firstColumn="0" w:lastColumn="0" w:noHBand="0" w:noVBand="1"/>
      </w:tblPr>
      <w:tblGrid>
        <w:gridCol w:w="2688"/>
        <w:gridCol w:w="4254"/>
        <w:gridCol w:w="2544"/>
      </w:tblGrid>
      <w:tr w:rsidR="007A59C3">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rPr>
                <w:b/>
              </w:rPr>
            </w:pPr>
            <w:r>
              <w:rPr>
                <w:b/>
              </w:rPr>
              <w:t>Challenge number(s) addressed</w:t>
            </w:r>
          </w:p>
        </w:tc>
      </w:tr>
      <w:tr w:rsidR="007A59C3">
        <w:tc>
          <w:tcPr>
            <w:tcW w:w="2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59C3" w:rsidRDefault="00197BD7">
            <w:pPr>
              <w:spacing w:before="240" w:after="0" w:line="276" w:lineRule="auto"/>
            </w:pPr>
            <w:r>
              <w:lastRenderedPageBreak/>
              <w:t>Identified children to take part in Caterpillar group working collaboratively with others to accelerate progress in reading/writing and maths</w:t>
            </w:r>
          </w:p>
          <w:p w:rsidR="007A59C3" w:rsidRDefault="00197BD7">
            <w:pPr>
              <w:spacing w:before="240" w:after="0" w:line="276" w:lineRule="auto"/>
            </w:pPr>
            <w:r>
              <w:t>Development of key skills in a real life environment</w:t>
            </w:r>
          </w:p>
          <w:p w:rsidR="007A59C3" w:rsidRDefault="00197BD7">
            <w:pPr>
              <w:spacing w:before="240" w:line="240" w:lineRule="auto"/>
            </w:pPr>
            <w:r>
              <w:t xml:space="preserve"> </w:t>
            </w:r>
          </w:p>
        </w:tc>
        <w:tc>
          <w:tcPr>
            <w:tcW w:w="425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A59C3" w:rsidRDefault="00197BD7">
            <w:pPr>
              <w:spacing w:before="240" w:after="0" w:line="276" w:lineRule="auto"/>
              <w:rPr>
                <w:sz w:val="22"/>
                <w:szCs w:val="22"/>
              </w:rPr>
            </w:pPr>
            <w:r>
              <w:rPr>
                <w:sz w:val="22"/>
                <w:szCs w:val="22"/>
              </w:rPr>
              <w:t>research in school and through discussion with “our “ paren</w:t>
            </w:r>
            <w:r>
              <w:rPr>
                <w:sz w:val="22"/>
                <w:szCs w:val="22"/>
              </w:rPr>
              <w:t>ts have led us to design the support which gives</w:t>
            </w:r>
          </w:p>
          <w:p w:rsidR="007A59C3" w:rsidRDefault="00197BD7">
            <w:pPr>
              <w:spacing w:before="240" w:after="0" w:line="276" w:lineRule="auto"/>
              <w:rPr>
                <w:sz w:val="22"/>
                <w:szCs w:val="22"/>
              </w:rPr>
            </w:pPr>
            <w:r>
              <w:rPr>
                <w:sz w:val="22"/>
                <w:szCs w:val="22"/>
              </w:rPr>
              <w:t>children the opportunity for real life learning experiences that otherwise they would miss out on.</w:t>
            </w:r>
          </w:p>
          <w:p w:rsidR="007A59C3" w:rsidRDefault="00197BD7">
            <w:pPr>
              <w:spacing w:before="240" w:after="0" w:line="276" w:lineRule="auto"/>
              <w:rPr>
                <w:sz w:val="22"/>
                <w:szCs w:val="22"/>
              </w:rPr>
            </w:pPr>
            <w:r>
              <w:rPr>
                <w:sz w:val="22"/>
                <w:szCs w:val="22"/>
              </w:rPr>
              <w:t>Shopping eg maths calculations</w:t>
            </w:r>
          </w:p>
          <w:p w:rsidR="007A59C3" w:rsidRDefault="00197BD7">
            <w:pPr>
              <w:spacing w:before="240" w:after="0" w:line="276" w:lineRule="auto"/>
              <w:rPr>
                <w:sz w:val="22"/>
                <w:szCs w:val="22"/>
              </w:rPr>
            </w:pPr>
            <w:r>
              <w:rPr>
                <w:sz w:val="22"/>
                <w:szCs w:val="22"/>
              </w:rPr>
              <w:t>Reading a variety of genres and being exposed to different authors eg book club and writing reviews</w:t>
            </w:r>
          </w:p>
          <w:p w:rsidR="007A59C3" w:rsidRDefault="00197BD7">
            <w:pPr>
              <w:spacing w:before="240" w:line="240" w:lineRule="auto"/>
              <w:rPr>
                <w:sz w:val="22"/>
                <w:szCs w:val="22"/>
              </w:rPr>
            </w:pPr>
            <w:r>
              <w:rPr>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rPr>
                <w:sz w:val="22"/>
                <w:szCs w:val="22"/>
              </w:rPr>
            </w:pPr>
            <w:r>
              <w:rPr>
                <w:sz w:val="22"/>
                <w:szCs w:val="22"/>
              </w:rPr>
              <w:t>1,2,3,5</w:t>
            </w:r>
          </w:p>
        </w:tc>
      </w:tr>
      <w:tr w:rsidR="007A59C3">
        <w:tc>
          <w:tcPr>
            <w:tcW w:w="2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59C3" w:rsidRDefault="00197BD7">
            <w:pPr>
              <w:spacing w:before="240" w:line="240" w:lineRule="auto"/>
              <w:rPr>
                <w:rFonts w:ascii="Verdana" w:eastAsia="Verdana" w:hAnsi="Verdana" w:cs="Verdana"/>
                <w:i/>
                <w:sz w:val="22"/>
                <w:szCs w:val="22"/>
              </w:rPr>
            </w:pPr>
            <w:r>
              <w:rPr>
                <w:rFonts w:ascii="Verdana" w:eastAsia="Verdana" w:hAnsi="Verdana" w:cs="Verdana"/>
                <w:i/>
                <w:sz w:val="22"/>
                <w:szCs w:val="22"/>
              </w:rPr>
              <w:t>Class teacher  to deliver targeted support children on a 1:1 and small group basis working on SMART writing targets used alongside quality first teaching based on Rosenshine</w:t>
            </w:r>
          </w:p>
        </w:tc>
        <w:tc>
          <w:tcPr>
            <w:tcW w:w="425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A59C3" w:rsidRDefault="00197BD7">
            <w:pPr>
              <w:spacing w:before="240" w:after="0" w:line="276" w:lineRule="auto"/>
              <w:rPr>
                <w:rFonts w:ascii="Verdana" w:eastAsia="Verdana" w:hAnsi="Verdana" w:cs="Verdana"/>
                <w:sz w:val="22"/>
                <w:szCs w:val="22"/>
              </w:rPr>
            </w:pPr>
            <w:r>
              <w:rPr>
                <w:rFonts w:ascii="Verdana" w:eastAsia="Verdana" w:hAnsi="Verdana" w:cs="Verdana"/>
                <w:sz w:val="22"/>
                <w:szCs w:val="22"/>
              </w:rPr>
              <w:t>Children to  make at least expected progress in Reading, Writing and Maths</w:t>
            </w:r>
          </w:p>
          <w:p w:rsidR="007A59C3" w:rsidRDefault="00197BD7">
            <w:pPr>
              <w:spacing w:before="240" w:after="0" w:line="276" w:lineRule="auto"/>
              <w:rPr>
                <w:sz w:val="22"/>
                <w:szCs w:val="22"/>
              </w:rPr>
            </w:pPr>
            <w:r>
              <w:rPr>
                <w:rFonts w:ascii="Verdana" w:eastAsia="Verdana" w:hAnsi="Verdana" w:cs="Verdana"/>
                <w:sz w:val="22"/>
                <w:szCs w:val="22"/>
              </w:rPr>
              <w:t>Children’s emotional needs are being met, placing them in a just right state for learning.</w:t>
            </w:r>
          </w:p>
          <w:p w:rsidR="007A59C3" w:rsidRDefault="00197BD7">
            <w:pPr>
              <w:spacing w:before="240" w:after="0" w:line="276" w:lineRule="auto"/>
              <w:rPr>
                <w:sz w:val="22"/>
                <w:szCs w:val="22"/>
              </w:rPr>
            </w:pPr>
            <w:r>
              <w:rPr>
                <w:sz w:val="22"/>
                <w:szCs w:val="22"/>
              </w:rPr>
              <w:t>Adults create a successful learning environment in which all children can access the curriculum and develop strategies to ensure success.</w:t>
            </w:r>
          </w:p>
          <w:p w:rsidR="007A59C3" w:rsidRDefault="00197BD7">
            <w:pPr>
              <w:spacing w:before="240" w:after="0" w:line="276" w:lineRule="auto"/>
              <w:rPr>
                <w:b/>
                <w:sz w:val="22"/>
                <w:szCs w:val="22"/>
              </w:rPr>
            </w:pPr>
            <w:r>
              <w:rPr>
                <w:b/>
                <w:sz w:val="22"/>
                <w:szCs w:val="22"/>
              </w:rPr>
              <w:t>Sutton Trust: meta -cogniti</w:t>
            </w:r>
            <w:r>
              <w:rPr>
                <w:b/>
                <w:sz w:val="22"/>
                <w:szCs w:val="22"/>
              </w:rPr>
              <w:t>ve and self -regulation strategies + 8 months one to one tuition + 5 months Feedback + 9 months</w:t>
            </w:r>
          </w:p>
          <w:p w:rsidR="007A59C3" w:rsidRDefault="00197BD7">
            <w:pPr>
              <w:spacing w:before="240" w:line="240" w:lineRule="auto"/>
              <w:rPr>
                <w:sz w:val="22"/>
                <w:szCs w:val="22"/>
              </w:rPr>
            </w:pPr>
            <w:r>
              <w:rPr>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rPr>
                <w:sz w:val="22"/>
                <w:szCs w:val="22"/>
              </w:rPr>
            </w:pPr>
            <w:r>
              <w:rPr>
                <w:sz w:val="22"/>
                <w:szCs w:val="22"/>
              </w:rPr>
              <w:t>1,2,3,5</w:t>
            </w:r>
          </w:p>
        </w:tc>
      </w:tr>
      <w:tr w:rsidR="007A59C3">
        <w:tc>
          <w:tcPr>
            <w:tcW w:w="2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59C3" w:rsidRDefault="00197BD7">
            <w:pPr>
              <w:spacing w:before="240" w:line="240" w:lineRule="auto"/>
              <w:rPr>
                <w:rFonts w:ascii="Verdana" w:eastAsia="Verdana" w:hAnsi="Verdana" w:cs="Verdana"/>
                <w:i/>
                <w:sz w:val="18"/>
                <w:szCs w:val="18"/>
              </w:rPr>
            </w:pPr>
            <w:r>
              <w:rPr>
                <w:rFonts w:ascii="Verdana" w:eastAsia="Verdana" w:hAnsi="Verdana" w:cs="Verdana"/>
                <w:i/>
                <w:sz w:val="18"/>
                <w:szCs w:val="18"/>
              </w:rPr>
              <w:t>Targeted Phonic/reading intervention – Year 2 – 4</w:t>
            </w:r>
          </w:p>
        </w:tc>
        <w:tc>
          <w:tcPr>
            <w:tcW w:w="425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A59C3" w:rsidRDefault="00197BD7">
            <w:pPr>
              <w:spacing w:before="240" w:line="276" w:lineRule="auto"/>
              <w:rPr>
                <w:rFonts w:ascii="Verdana" w:eastAsia="Verdana" w:hAnsi="Verdana" w:cs="Verdana"/>
                <w:sz w:val="18"/>
                <w:szCs w:val="18"/>
              </w:rPr>
            </w:pPr>
            <w:r>
              <w:rPr>
                <w:rFonts w:ascii="Verdana" w:eastAsia="Verdana" w:hAnsi="Verdana" w:cs="Verdana"/>
                <w:sz w:val="18"/>
                <w:szCs w:val="18"/>
              </w:rPr>
              <w:t>Children to make rapid progress using the RWI scheme</w:t>
            </w:r>
          </w:p>
          <w:p w:rsidR="007A59C3" w:rsidRDefault="00197BD7">
            <w:pPr>
              <w:spacing w:before="240" w:line="276" w:lineRule="auto"/>
              <w:rPr>
                <w:rFonts w:ascii="Verdana" w:eastAsia="Verdana" w:hAnsi="Verdana" w:cs="Verdana"/>
                <w:sz w:val="18"/>
                <w:szCs w:val="18"/>
              </w:rPr>
            </w:pPr>
            <w:r>
              <w:rPr>
                <w:rFonts w:ascii="Verdana" w:eastAsia="Verdana" w:hAnsi="Verdana" w:cs="Verdana"/>
                <w:sz w:val="18"/>
                <w:szCs w:val="18"/>
              </w:rPr>
              <w:t>Sutton trust : One to one + 5 months Parental involvement + 3 months</w:t>
            </w:r>
          </w:p>
        </w:tc>
        <w:tc>
          <w:tcPr>
            <w:tcW w:w="25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A59C3" w:rsidRDefault="00197BD7">
            <w:pPr>
              <w:spacing w:before="240" w:line="240" w:lineRule="auto"/>
              <w:rPr>
                <w:sz w:val="18"/>
                <w:szCs w:val="18"/>
              </w:rPr>
            </w:pPr>
            <w:r>
              <w:rPr>
                <w:sz w:val="18"/>
                <w:szCs w:val="18"/>
              </w:rPr>
              <w:t xml:space="preserve"> </w:t>
            </w:r>
          </w:p>
          <w:p w:rsidR="007A59C3" w:rsidRDefault="00197BD7">
            <w:pPr>
              <w:spacing w:before="240" w:line="240" w:lineRule="auto"/>
              <w:jc w:val="center"/>
              <w:rPr>
                <w:sz w:val="18"/>
                <w:szCs w:val="18"/>
              </w:rPr>
            </w:pPr>
            <w:r>
              <w:rPr>
                <w:sz w:val="18"/>
                <w:szCs w:val="18"/>
              </w:rPr>
              <w:t>1,2</w:t>
            </w:r>
          </w:p>
        </w:tc>
      </w:tr>
    </w:tbl>
    <w:p w:rsidR="007A59C3" w:rsidRDefault="007A59C3">
      <w:pPr>
        <w:spacing w:after="0"/>
        <w:rPr>
          <w:b/>
          <w:color w:val="104F75"/>
          <w:sz w:val="28"/>
          <w:szCs w:val="28"/>
        </w:rPr>
      </w:pPr>
    </w:p>
    <w:p w:rsidR="007A59C3" w:rsidRDefault="00197BD7">
      <w:pPr>
        <w:rPr>
          <w:b/>
          <w:color w:val="104F75"/>
          <w:sz w:val="28"/>
          <w:szCs w:val="28"/>
        </w:rPr>
      </w:pPr>
      <w:r>
        <w:rPr>
          <w:b/>
          <w:color w:val="104F75"/>
          <w:sz w:val="28"/>
          <w:szCs w:val="28"/>
        </w:rPr>
        <w:t>Wider strategies (for example, related to attendance, behaviour, wellbeing)</w:t>
      </w:r>
    </w:p>
    <w:p w:rsidR="007A59C3" w:rsidRDefault="00197BD7">
      <w:pPr>
        <w:spacing w:before="240" w:after="120"/>
      </w:pPr>
      <w:r>
        <w:lastRenderedPageBreak/>
        <w:t>Budgeted cost: £4,535</w:t>
      </w:r>
    </w:p>
    <w:tbl>
      <w:tblPr>
        <w:tblStyle w:val="affff"/>
        <w:tblW w:w="9486" w:type="dxa"/>
        <w:tblLayout w:type="fixed"/>
        <w:tblLook w:val="0400" w:firstRow="0" w:lastRow="0" w:firstColumn="0" w:lastColumn="0" w:noHBand="0" w:noVBand="1"/>
      </w:tblPr>
      <w:tblGrid>
        <w:gridCol w:w="2688"/>
        <w:gridCol w:w="4254"/>
        <w:gridCol w:w="2544"/>
      </w:tblGrid>
      <w:tr w:rsidR="007A59C3">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A59C3" w:rsidRDefault="00197BD7">
            <w:pPr>
              <w:pBdr>
                <w:top w:val="nil"/>
                <w:left w:val="nil"/>
                <w:bottom w:val="nil"/>
                <w:right w:val="nil"/>
                <w:between w:val="nil"/>
              </w:pBdr>
              <w:spacing w:before="60" w:after="60" w:line="240" w:lineRule="auto"/>
              <w:ind w:left="57" w:right="57"/>
              <w:rPr>
                <w:b/>
              </w:rPr>
            </w:pPr>
            <w:r>
              <w:rPr>
                <w:b/>
              </w:rPr>
              <w:t>Challenge number(s) addressed</w:t>
            </w:r>
          </w:p>
        </w:tc>
      </w:tr>
      <w:tr w:rsidR="007A59C3">
        <w:tc>
          <w:tcPr>
            <w:tcW w:w="2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59C3" w:rsidRDefault="00197BD7">
            <w:pPr>
              <w:spacing w:before="240" w:line="240" w:lineRule="auto"/>
            </w:pPr>
            <w:r>
              <w:t>Targeted children to have access to ELSA, TIS</w:t>
            </w:r>
          </w:p>
          <w:p w:rsidR="007A59C3" w:rsidRDefault="00197BD7">
            <w:pPr>
              <w:spacing w:before="240" w:line="240" w:lineRule="auto"/>
            </w:pPr>
            <w:r>
              <w:t>CPD for staff development to support targeted children</w:t>
            </w:r>
          </w:p>
        </w:tc>
        <w:tc>
          <w:tcPr>
            <w:tcW w:w="425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A59C3" w:rsidRDefault="00197BD7">
            <w:pPr>
              <w:spacing w:before="240" w:after="0" w:line="276" w:lineRule="auto"/>
              <w:rPr>
                <w:rFonts w:ascii="Verdana" w:eastAsia="Verdana" w:hAnsi="Verdana" w:cs="Verdana"/>
                <w:sz w:val="22"/>
                <w:szCs w:val="22"/>
              </w:rPr>
            </w:pPr>
            <w:r>
              <w:rPr>
                <w:rFonts w:ascii="Verdana" w:eastAsia="Verdana" w:hAnsi="Verdana" w:cs="Verdana"/>
                <w:sz w:val="22"/>
                <w:szCs w:val="22"/>
              </w:rPr>
              <w:t>Children will be able to explain why and how they have used strategies and resources. Use of  teacher feedback to ensure successful learning</w:t>
            </w:r>
          </w:p>
          <w:p w:rsidR="007A59C3" w:rsidRDefault="00197BD7">
            <w:pPr>
              <w:spacing w:before="240" w:after="0" w:line="276" w:lineRule="auto"/>
              <w:rPr>
                <w:rFonts w:ascii="Verdana" w:eastAsia="Verdana" w:hAnsi="Verdana" w:cs="Verdana"/>
                <w:sz w:val="22"/>
                <w:szCs w:val="22"/>
              </w:rPr>
            </w:pPr>
            <w:r>
              <w:rPr>
                <w:rFonts w:ascii="Verdana" w:eastAsia="Verdana" w:hAnsi="Verdana" w:cs="Verdana"/>
                <w:sz w:val="22"/>
                <w:szCs w:val="22"/>
              </w:rPr>
              <w:t xml:space="preserve">Sutton Trust: </w:t>
            </w:r>
            <w:r>
              <w:rPr>
                <w:rFonts w:ascii="Verdana" w:eastAsia="Verdana" w:hAnsi="Verdana" w:cs="Verdana"/>
                <w:sz w:val="22"/>
                <w:szCs w:val="22"/>
              </w:rPr>
              <w:t>meta -cognitive and self -regulation strategies + 8 months one to one tuition + 5 months Feedback + 9 months</w:t>
            </w:r>
          </w:p>
          <w:p w:rsidR="007A59C3" w:rsidRDefault="00197BD7">
            <w:pPr>
              <w:spacing w:before="240" w:line="240" w:lineRule="auto"/>
              <w:rPr>
                <w:sz w:val="22"/>
                <w:szCs w:val="22"/>
              </w:rPr>
            </w:pPr>
            <w:r>
              <w:rPr>
                <w:sz w:val="22"/>
                <w:szCs w:val="22"/>
              </w:rPr>
              <w:t xml:space="preserve"> </w:t>
            </w:r>
          </w:p>
        </w:tc>
        <w:tc>
          <w:tcPr>
            <w:tcW w:w="25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A59C3" w:rsidRDefault="00197BD7">
            <w:pPr>
              <w:spacing w:before="240" w:line="240" w:lineRule="auto"/>
              <w:rPr>
                <w:sz w:val="22"/>
                <w:szCs w:val="22"/>
              </w:rPr>
            </w:pPr>
            <w:r>
              <w:rPr>
                <w:sz w:val="22"/>
                <w:szCs w:val="22"/>
              </w:rPr>
              <w:t>1,2,5</w:t>
            </w:r>
          </w:p>
        </w:tc>
      </w:tr>
      <w:tr w:rsidR="007A59C3">
        <w:tc>
          <w:tcPr>
            <w:tcW w:w="2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59C3" w:rsidRDefault="00197BD7">
            <w:pPr>
              <w:spacing w:before="240" w:line="240" w:lineRule="auto"/>
            </w:pPr>
            <w:r>
              <w:t xml:space="preserve">Opportunities for children to have peripatetic music lessons / Sports </w:t>
            </w:r>
          </w:p>
        </w:tc>
        <w:tc>
          <w:tcPr>
            <w:tcW w:w="425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A59C3" w:rsidRDefault="00197BD7">
            <w:pPr>
              <w:spacing w:before="240" w:after="0" w:line="276" w:lineRule="auto"/>
              <w:rPr>
                <w:rFonts w:ascii="Verdana" w:eastAsia="Verdana" w:hAnsi="Verdana" w:cs="Verdana"/>
                <w:sz w:val="22"/>
                <w:szCs w:val="22"/>
              </w:rPr>
            </w:pPr>
            <w:r>
              <w:rPr>
                <w:rFonts w:ascii="Verdana" w:eastAsia="Verdana" w:hAnsi="Verdana" w:cs="Verdana"/>
                <w:sz w:val="22"/>
                <w:szCs w:val="22"/>
              </w:rPr>
              <w:t>children will have wider opportunities to learn an instrument or ta</w:t>
            </w:r>
            <w:r>
              <w:rPr>
                <w:rFonts w:ascii="Verdana" w:eastAsia="Verdana" w:hAnsi="Verdana" w:cs="Verdana"/>
                <w:sz w:val="22"/>
                <w:szCs w:val="22"/>
              </w:rPr>
              <w:t xml:space="preserve">ke part in additional sporting </w:t>
            </w:r>
          </w:p>
        </w:tc>
        <w:tc>
          <w:tcPr>
            <w:tcW w:w="25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A59C3" w:rsidRDefault="00197BD7">
            <w:pPr>
              <w:spacing w:before="240" w:line="240" w:lineRule="auto"/>
              <w:rPr>
                <w:sz w:val="22"/>
                <w:szCs w:val="22"/>
              </w:rPr>
            </w:pPr>
            <w:r>
              <w:rPr>
                <w:sz w:val="22"/>
                <w:szCs w:val="22"/>
              </w:rPr>
              <w:t>1,2,5</w:t>
            </w:r>
          </w:p>
        </w:tc>
      </w:tr>
      <w:tr w:rsidR="007A59C3">
        <w:tc>
          <w:tcPr>
            <w:tcW w:w="268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59C3" w:rsidRDefault="00197BD7">
            <w:pPr>
              <w:spacing w:before="240" w:line="240" w:lineRule="auto"/>
              <w:rPr>
                <w:i/>
                <w:sz w:val="22"/>
                <w:szCs w:val="22"/>
              </w:rPr>
            </w:pPr>
            <w:r>
              <w:rPr>
                <w:i/>
                <w:sz w:val="22"/>
                <w:szCs w:val="22"/>
              </w:rPr>
              <w:t xml:space="preserve">Identified parents to take part in the Trick box training </w:t>
            </w:r>
          </w:p>
        </w:tc>
        <w:tc>
          <w:tcPr>
            <w:tcW w:w="4254" w:type="dxa"/>
            <w:tcBorders>
              <w:top w:val="nil"/>
              <w:left w:val="nil"/>
              <w:bottom w:val="single" w:sz="8" w:space="0" w:color="000000"/>
              <w:right w:val="single" w:sz="8" w:space="0" w:color="000000"/>
            </w:tcBorders>
            <w:tcMar>
              <w:top w:w="100" w:type="dxa"/>
              <w:left w:w="100" w:type="dxa"/>
              <w:bottom w:w="100" w:type="dxa"/>
              <w:right w:w="100" w:type="dxa"/>
            </w:tcMar>
          </w:tcPr>
          <w:p w:rsidR="007A59C3" w:rsidRDefault="00197BD7">
            <w:pPr>
              <w:spacing w:before="240" w:after="0" w:line="276" w:lineRule="auto"/>
              <w:rPr>
                <w:sz w:val="22"/>
                <w:szCs w:val="22"/>
              </w:rPr>
            </w:pPr>
            <w:r>
              <w:rPr>
                <w:sz w:val="22"/>
                <w:szCs w:val="22"/>
              </w:rPr>
              <w:t>To increase positive relationships with school</w:t>
            </w:r>
          </w:p>
          <w:p w:rsidR="007A59C3" w:rsidRDefault="00197BD7">
            <w:pPr>
              <w:spacing w:before="240" w:after="0" w:line="276" w:lineRule="auto"/>
              <w:rPr>
                <w:sz w:val="22"/>
                <w:szCs w:val="22"/>
              </w:rPr>
            </w:pPr>
            <w:r>
              <w:rPr>
                <w:sz w:val="22"/>
                <w:szCs w:val="22"/>
              </w:rPr>
              <w:t>empower parents and upskill them to grow to have a love of reading, writing and maths</w:t>
            </w:r>
          </w:p>
          <w:p w:rsidR="007A59C3" w:rsidRDefault="00197BD7">
            <w:pPr>
              <w:spacing w:before="240" w:line="240" w:lineRule="auto"/>
              <w:rPr>
                <w:sz w:val="22"/>
                <w:szCs w:val="22"/>
              </w:rPr>
            </w:pPr>
            <w:r>
              <w:rPr>
                <w:sz w:val="22"/>
                <w:szCs w:val="22"/>
              </w:rPr>
              <w:t xml:space="preserve"> </w:t>
            </w:r>
          </w:p>
        </w:tc>
        <w:tc>
          <w:tcPr>
            <w:tcW w:w="2544" w:type="dxa"/>
            <w:tcBorders>
              <w:top w:val="nil"/>
              <w:left w:val="nil"/>
              <w:bottom w:val="single" w:sz="8" w:space="0" w:color="000000"/>
              <w:right w:val="single" w:sz="8" w:space="0" w:color="000000"/>
            </w:tcBorders>
            <w:tcMar>
              <w:top w:w="100" w:type="dxa"/>
              <w:left w:w="100" w:type="dxa"/>
              <w:bottom w:w="100" w:type="dxa"/>
              <w:right w:w="100" w:type="dxa"/>
            </w:tcMar>
          </w:tcPr>
          <w:p w:rsidR="007A59C3" w:rsidRDefault="00197BD7">
            <w:pPr>
              <w:spacing w:before="240" w:line="240" w:lineRule="auto"/>
              <w:rPr>
                <w:sz w:val="22"/>
                <w:szCs w:val="22"/>
              </w:rPr>
            </w:pPr>
            <w:r>
              <w:rPr>
                <w:sz w:val="22"/>
                <w:szCs w:val="22"/>
              </w:rPr>
              <w:t>1,2, 5</w:t>
            </w:r>
          </w:p>
        </w:tc>
      </w:tr>
      <w:tr w:rsidR="007A59C3">
        <w:tc>
          <w:tcPr>
            <w:tcW w:w="268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59C3" w:rsidRDefault="00197BD7">
            <w:pPr>
              <w:spacing w:before="240" w:line="240" w:lineRule="auto"/>
              <w:rPr>
                <w:i/>
                <w:sz w:val="22"/>
                <w:szCs w:val="22"/>
              </w:rPr>
            </w:pPr>
            <w:r>
              <w:rPr>
                <w:i/>
                <w:sz w:val="22"/>
                <w:szCs w:val="22"/>
              </w:rPr>
              <w:t>Subject leaders for Maths and English lead Parent workshops on Power Maths and The Write Stuff</w:t>
            </w:r>
          </w:p>
          <w:p w:rsidR="007A59C3" w:rsidRDefault="00197BD7">
            <w:pPr>
              <w:spacing w:before="240" w:line="240" w:lineRule="auto"/>
              <w:rPr>
                <w:i/>
                <w:sz w:val="22"/>
                <w:szCs w:val="22"/>
              </w:rPr>
            </w:pPr>
            <w:r>
              <w:rPr>
                <w:i/>
                <w:sz w:val="22"/>
                <w:szCs w:val="22"/>
              </w:rPr>
              <w:t xml:space="preserve">Class teacher to support Parents with Google Classroom </w:t>
            </w:r>
          </w:p>
        </w:tc>
        <w:tc>
          <w:tcPr>
            <w:tcW w:w="4254" w:type="dxa"/>
            <w:tcBorders>
              <w:top w:val="nil"/>
              <w:left w:val="nil"/>
              <w:bottom w:val="single" w:sz="8" w:space="0" w:color="000000"/>
              <w:right w:val="single" w:sz="8" w:space="0" w:color="000000"/>
            </w:tcBorders>
            <w:tcMar>
              <w:top w:w="100" w:type="dxa"/>
              <w:left w:w="100" w:type="dxa"/>
              <w:bottom w:w="100" w:type="dxa"/>
              <w:right w:w="100" w:type="dxa"/>
            </w:tcMar>
          </w:tcPr>
          <w:p w:rsidR="007A59C3" w:rsidRDefault="00197BD7">
            <w:pPr>
              <w:spacing w:before="240" w:after="0" w:line="276" w:lineRule="auto"/>
              <w:rPr>
                <w:sz w:val="22"/>
                <w:szCs w:val="22"/>
              </w:rPr>
            </w:pPr>
            <w:r>
              <w:rPr>
                <w:sz w:val="22"/>
                <w:szCs w:val="22"/>
              </w:rPr>
              <w:t>To increase positive relationships with school</w:t>
            </w:r>
          </w:p>
          <w:p w:rsidR="007A59C3" w:rsidRDefault="00197BD7">
            <w:pPr>
              <w:spacing w:before="240" w:after="0" w:line="276" w:lineRule="auto"/>
              <w:rPr>
                <w:sz w:val="22"/>
                <w:szCs w:val="22"/>
              </w:rPr>
            </w:pPr>
            <w:r>
              <w:rPr>
                <w:sz w:val="22"/>
                <w:szCs w:val="22"/>
              </w:rPr>
              <w:t>empower parents and upskill them to grow to have a love of reading, writing and maths</w:t>
            </w:r>
          </w:p>
          <w:p w:rsidR="007A59C3" w:rsidRDefault="00197BD7">
            <w:pPr>
              <w:spacing w:before="240" w:line="240" w:lineRule="auto"/>
              <w:rPr>
                <w:sz w:val="22"/>
                <w:szCs w:val="22"/>
              </w:rPr>
            </w:pPr>
            <w:r>
              <w:rPr>
                <w:sz w:val="22"/>
                <w:szCs w:val="22"/>
              </w:rPr>
              <w:t xml:space="preserve"> </w:t>
            </w:r>
          </w:p>
        </w:tc>
        <w:tc>
          <w:tcPr>
            <w:tcW w:w="2544" w:type="dxa"/>
            <w:tcBorders>
              <w:top w:val="nil"/>
              <w:left w:val="nil"/>
              <w:bottom w:val="single" w:sz="8" w:space="0" w:color="000000"/>
              <w:right w:val="single" w:sz="8" w:space="0" w:color="000000"/>
            </w:tcBorders>
            <w:tcMar>
              <w:top w:w="100" w:type="dxa"/>
              <w:left w:w="100" w:type="dxa"/>
              <w:bottom w:w="100" w:type="dxa"/>
              <w:right w:w="100" w:type="dxa"/>
            </w:tcMar>
          </w:tcPr>
          <w:p w:rsidR="007A59C3" w:rsidRDefault="00197BD7">
            <w:pPr>
              <w:spacing w:before="240" w:line="240" w:lineRule="auto"/>
              <w:rPr>
                <w:sz w:val="22"/>
                <w:szCs w:val="22"/>
              </w:rPr>
            </w:pPr>
            <w:r>
              <w:rPr>
                <w:sz w:val="22"/>
                <w:szCs w:val="22"/>
              </w:rPr>
              <w:t>1,2,5</w:t>
            </w:r>
          </w:p>
        </w:tc>
      </w:tr>
    </w:tbl>
    <w:p w:rsidR="007A59C3" w:rsidRDefault="00197BD7">
      <w:pPr>
        <w:pStyle w:val="Heading1"/>
      </w:pPr>
      <w:r>
        <w:lastRenderedPageBreak/>
        <w:t>Part B: Review of outcomes in the previous academic year</w:t>
      </w:r>
    </w:p>
    <w:p w:rsidR="007A59C3" w:rsidRDefault="00197BD7">
      <w:pPr>
        <w:pStyle w:val="Heading2"/>
      </w:pPr>
      <w:r>
        <w:t>Pupil premium strategy outcomes</w:t>
      </w:r>
    </w:p>
    <w:p w:rsidR="007A59C3" w:rsidRDefault="00197BD7">
      <w:r>
        <w:t xml:space="preserve">This details the impact that our pupil premium activity had on pupils in the 2023/24 academic year. </w:t>
      </w:r>
    </w:p>
    <w:tbl>
      <w:tblPr>
        <w:tblStyle w:val="affff0"/>
        <w:tblW w:w="9493" w:type="dxa"/>
        <w:tblLayout w:type="fixed"/>
        <w:tblLook w:val="0400" w:firstRow="0" w:lastRow="0" w:firstColumn="0" w:lastColumn="0" w:noHBand="0" w:noVBand="1"/>
      </w:tblPr>
      <w:tblGrid>
        <w:gridCol w:w="9493"/>
      </w:tblGrid>
      <w:tr w:rsidR="007A59C3">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C3" w:rsidRDefault="007A59C3"/>
          <w:p w:rsidR="007A59C3" w:rsidRDefault="007A59C3">
            <w:pPr>
              <w:spacing w:after="0" w:line="276" w:lineRule="auto"/>
            </w:pPr>
          </w:p>
        </w:tc>
      </w:tr>
    </w:tbl>
    <w:p w:rsidR="007A59C3" w:rsidRDefault="007A59C3"/>
    <w:p w:rsidR="007A59C3" w:rsidRDefault="007A59C3">
      <w:pPr>
        <w:spacing w:after="0" w:line="240" w:lineRule="auto"/>
      </w:pPr>
    </w:p>
    <w:tbl>
      <w:tblPr>
        <w:tblStyle w:val="affff1"/>
        <w:tblW w:w="949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6"/>
      </w:tblGrid>
      <w:tr w:rsidR="007A59C3">
        <w:tc>
          <w:tcPr>
            <w:tcW w:w="9496" w:type="dxa"/>
            <w:shd w:val="clear" w:color="auto" w:fill="auto"/>
            <w:tcMar>
              <w:top w:w="100" w:type="dxa"/>
              <w:left w:w="100" w:type="dxa"/>
              <w:bottom w:w="100" w:type="dxa"/>
              <w:right w:w="100" w:type="dxa"/>
            </w:tcMar>
          </w:tcPr>
          <w:p w:rsidR="007A59C3" w:rsidRDefault="007A59C3">
            <w:pPr>
              <w:widowControl w:val="0"/>
              <w:pBdr>
                <w:top w:val="nil"/>
                <w:left w:val="nil"/>
                <w:bottom w:val="nil"/>
                <w:right w:val="nil"/>
                <w:between w:val="nil"/>
              </w:pBdr>
              <w:spacing w:after="0" w:line="240" w:lineRule="auto"/>
              <w:rPr>
                <w:b/>
              </w:rPr>
            </w:pPr>
          </w:p>
          <w:p w:rsidR="007A59C3" w:rsidRDefault="00197BD7">
            <w:pPr>
              <w:widowControl w:val="0"/>
              <w:pBdr>
                <w:top w:val="nil"/>
                <w:left w:val="nil"/>
                <w:bottom w:val="nil"/>
                <w:right w:val="nil"/>
                <w:between w:val="nil"/>
              </w:pBdr>
              <w:spacing w:after="0" w:line="240" w:lineRule="auto"/>
              <w:rPr>
                <w:b/>
              </w:rPr>
            </w:pPr>
            <w:r>
              <w:rPr>
                <w:b/>
              </w:rPr>
              <w:t>23 - 24</w:t>
            </w:r>
          </w:p>
          <w:p w:rsidR="007A59C3" w:rsidRDefault="007A59C3">
            <w:pPr>
              <w:widowControl w:val="0"/>
              <w:pBdr>
                <w:top w:val="nil"/>
                <w:left w:val="nil"/>
                <w:bottom w:val="nil"/>
                <w:right w:val="nil"/>
                <w:between w:val="nil"/>
              </w:pBdr>
              <w:spacing w:after="0" w:line="240" w:lineRule="auto"/>
            </w:pPr>
          </w:p>
          <w:tbl>
            <w:tblPr>
              <w:tblStyle w:val="affff2"/>
              <w:tblW w:w="5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1305"/>
              <w:gridCol w:w="1890"/>
              <w:gridCol w:w="1335"/>
            </w:tblGrid>
            <w:tr w:rsidR="007A59C3">
              <w:tc>
                <w:tcPr>
                  <w:tcW w:w="1320"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GLD</w:t>
                  </w:r>
                </w:p>
              </w:tc>
              <w:tc>
                <w:tcPr>
                  <w:tcW w:w="1305"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No</w:t>
                  </w:r>
                </w:p>
                <w:p w:rsidR="007A59C3" w:rsidRDefault="00197BD7">
                  <w:pPr>
                    <w:widowControl w:val="0"/>
                    <w:pBdr>
                      <w:top w:val="nil"/>
                      <w:left w:val="nil"/>
                      <w:bottom w:val="nil"/>
                      <w:right w:val="nil"/>
                      <w:between w:val="nil"/>
                    </w:pBdr>
                    <w:spacing w:after="0" w:line="240" w:lineRule="auto"/>
                  </w:pPr>
                  <w:r>
                    <w:t xml:space="preserve">chn  </w:t>
                  </w:r>
                </w:p>
              </w:tc>
              <w:tc>
                <w:tcPr>
                  <w:tcW w:w="1890"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PP (All)  3 chn</w:t>
                  </w:r>
                </w:p>
              </w:tc>
              <w:tc>
                <w:tcPr>
                  <w:tcW w:w="1335"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National</w:t>
                  </w:r>
                </w:p>
              </w:tc>
            </w:tr>
            <w:tr w:rsidR="007A59C3">
              <w:tc>
                <w:tcPr>
                  <w:tcW w:w="1320"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80%</w:t>
                  </w:r>
                </w:p>
              </w:tc>
              <w:tc>
                <w:tcPr>
                  <w:tcW w:w="1305"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30</w:t>
                  </w:r>
                </w:p>
              </w:tc>
              <w:tc>
                <w:tcPr>
                  <w:tcW w:w="1890"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33%</w:t>
                  </w:r>
                </w:p>
              </w:tc>
              <w:tc>
                <w:tcPr>
                  <w:tcW w:w="1335"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68%</w:t>
                  </w:r>
                </w:p>
              </w:tc>
            </w:tr>
          </w:tbl>
          <w:p w:rsidR="007A59C3" w:rsidRDefault="007A59C3">
            <w:pPr>
              <w:widowControl w:val="0"/>
              <w:pBdr>
                <w:top w:val="nil"/>
                <w:left w:val="nil"/>
                <w:bottom w:val="nil"/>
                <w:right w:val="nil"/>
                <w:between w:val="nil"/>
              </w:pBdr>
              <w:spacing w:after="0" w:line="240" w:lineRule="auto"/>
            </w:pPr>
          </w:p>
          <w:p w:rsidR="007A59C3" w:rsidRDefault="007A59C3">
            <w:pPr>
              <w:widowControl w:val="0"/>
              <w:pBdr>
                <w:top w:val="nil"/>
                <w:left w:val="nil"/>
                <w:bottom w:val="nil"/>
                <w:right w:val="nil"/>
                <w:between w:val="nil"/>
              </w:pBdr>
              <w:spacing w:after="0" w:line="240" w:lineRule="auto"/>
            </w:pPr>
          </w:p>
          <w:tbl>
            <w:tblPr>
              <w:tblStyle w:val="affff3"/>
              <w:tblW w:w="4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900"/>
              <w:gridCol w:w="1005"/>
              <w:gridCol w:w="1335"/>
            </w:tblGrid>
            <w:tr w:rsidR="007A59C3">
              <w:tc>
                <w:tcPr>
                  <w:tcW w:w="1605"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Phonics</w:t>
                  </w:r>
                </w:p>
              </w:tc>
              <w:tc>
                <w:tcPr>
                  <w:tcW w:w="900"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No</w:t>
                  </w:r>
                </w:p>
                <w:p w:rsidR="007A59C3" w:rsidRDefault="00197BD7">
                  <w:pPr>
                    <w:widowControl w:val="0"/>
                    <w:pBdr>
                      <w:top w:val="nil"/>
                      <w:left w:val="nil"/>
                      <w:bottom w:val="nil"/>
                      <w:right w:val="nil"/>
                      <w:between w:val="nil"/>
                    </w:pBdr>
                    <w:spacing w:after="0" w:line="240" w:lineRule="auto"/>
                  </w:pPr>
                  <w:r>
                    <w:t xml:space="preserve">Chn </w:t>
                  </w:r>
                </w:p>
                <w:p w:rsidR="007A59C3" w:rsidRDefault="007A59C3">
                  <w:pPr>
                    <w:widowControl w:val="0"/>
                    <w:pBdr>
                      <w:top w:val="nil"/>
                      <w:left w:val="nil"/>
                      <w:bottom w:val="nil"/>
                      <w:right w:val="nil"/>
                      <w:between w:val="nil"/>
                    </w:pBdr>
                    <w:spacing w:after="0" w:line="240" w:lineRule="auto"/>
                  </w:pPr>
                </w:p>
              </w:tc>
              <w:tc>
                <w:tcPr>
                  <w:tcW w:w="1005"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 xml:space="preserve">PP (All) </w:t>
                  </w:r>
                </w:p>
                <w:p w:rsidR="007A59C3" w:rsidRDefault="00197BD7">
                  <w:pPr>
                    <w:widowControl w:val="0"/>
                    <w:pBdr>
                      <w:top w:val="nil"/>
                      <w:left w:val="nil"/>
                      <w:bottom w:val="nil"/>
                      <w:right w:val="nil"/>
                      <w:between w:val="nil"/>
                    </w:pBdr>
                    <w:spacing w:after="0" w:line="240" w:lineRule="auto"/>
                  </w:pPr>
                  <w:r>
                    <w:t>2 chn</w:t>
                  </w:r>
                </w:p>
              </w:tc>
              <w:tc>
                <w:tcPr>
                  <w:tcW w:w="1335"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National</w:t>
                  </w:r>
                </w:p>
              </w:tc>
            </w:tr>
            <w:tr w:rsidR="007A59C3">
              <w:tc>
                <w:tcPr>
                  <w:tcW w:w="1605"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86%</w:t>
                  </w:r>
                </w:p>
              </w:tc>
              <w:tc>
                <w:tcPr>
                  <w:tcW w:w="900"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29</w:t>
                  </w:r>
                </w:p>
              </w:tc>
              <w:tc>
                <w:tcPr>
                  <w:tcW w:w="1005"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100%</w:t>
                  </w:r>
                </w:p>
              </w:tc>
              <w:tc>
                <w:tcPr>
                  <w:tcW w:w="1335"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80%</w:t>
                  </w:r>
                </w:p>
              </w:tc>
            </w:tr>
          </w:tbl>
          <w:p w:rsidR="007A59C3" w:rsidRDefault="00197BD7">
            <w:pPr>
              <w:widowControl w:val="0"/>
              <w:pBdr>
                <w:top w:val="nil"/>
                <w:left w:val="nil"/>
                <w:bottom w:val="nil"/>
                <w:right w:val="nil"/>
                <w:between w:val="nil"/>
              </w:pBdr>
              <w:spacing w:after="0" w:line="240" w:lineRule="auto"/>
            </w:pPr>
            <w:r>
              <w:t>Year 2 - 100% pass at retake level</w:t>
            </w:r>
          </w:p>
          <w:p w:rsidR="007A59C3" w:rsidRDefault="007A59C3">
            <w:pPr>
              <w:widowControl w:val="0"/>
              <w:pBdr>
                <w:top w:val="nil"/>
                <w:left w:val="nil"/>
                <w:bottom w:val="nil"/>
                <w:right w:val="nil"/>
                <w:between w:val="nil"/>
              </w:pBdr>
              <w:spacing w:after="0" w:line="240" w:lineRule="auto"/>
            </w:pPr>
          </w:p>
          <w:p w:rsidR="007A59C3" w:rsidRDefault="00197BD7">
            <w:pPr>
              <w:widowControl w:val="0"/>
              <w:pBdr>
                <w:top w:val="nil"/>
                <w:left w:val="nil"/>
                <w:bottom w:val="nil"/>
                <w:right w:val="nil"/>
                <w:between w:val="nil"/>
              </w:pBdr>
              <w:spacing w:after="0" w:line="240" w:lineRule="auto"/>
            </w:pPr>
            <w:r>
              <w:t>Results 23/24</w:t>
            </w:r>
          </w:p>
          <w:p w:rsidR="007A59C3" w:rsidRDefault="007A59C3">
            <w:pPr>
              <w:widowControl w:val="0"/>
              <w:pBdr>
                <w:top w:val="nil"/>
                <w:left w:val="nil"/>
                <w:bottom w:val="nil"/>
                <w:right w:val="nil"/>
                <w:between w:val="nil"/>
              </w:pBdr>
              <w:spacing w:after="0" w:line="240" w:lineRule="auto"/>
            </w:pPr>
          </w:p>
          <w:tbl>
            <w:tblPr>
              <w:tblStyle w:val="affff4"/>
              <w:tblW w:w="9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8"/>
              <w:gridCol w:w="1328"/>
              <w:gridCol w:w="1328"/>
              <w:gridCol w:w="1328"/>
              <w:gridCol w:w="1328"/>
              <w:gridCol w:w="1328"/>
              <w:gridCol w:w="1328"/>
            </w:tblGrid>
            <w:tr w:rsidR="007A59C3">
              <w:tc>
                <w:tcPr>
                  <w:tcW w:w="1328" w:type="dxa"/>
                  <w:shd w:val="clear" w:color="auto" w:fill="auto"/>
                  <w:tcMar>
                    <w:top w:w="100" w:type="dxa"/>
                    <w:left w:w="100" w:type="dxa"/>
                    <w:bottom w:w="100" w:type="dxa"/>
                    <w:right w:w="100" w:type="dxa"/>
                  </w:tcMar>
                </w:tcPr>
                <w:p w:rsidR="007A59C3" w:rsidRDefault="007A59C3">
                  <w:pPr>
                    <w:widowControl w:val="0"/>
                    <w:pBdr>
                      <w:top w:val="nil"/>
                      <w:left w:val="nil"/>
                      <w:bottom w:val="nil"/>
                      <w:right w:val="nil"/>
                      <w:between w:val="nil"/>
                    </w:pBdr>
                    <w:spacing w:after="0" w:line="240" w:lineRule="auto"/>
                  </w:pPr>
                </w:p>
              </w:tc>
              <w:tc>
                <w:tcPr>
                  <w:tcW w:w="1328" w:type="dxa"/>
                  <w:shd w:val="clear" w:color="auto" w:fill="auto"/>
                  <w:tcMar>
                    <w:top w:w="100" w:type="dxa"/>
                    <w:left w:w="100" w:type="dxa"/>
                    <w:bottom w:w="100" w:type="dxa"/>
                    <w:right w:w="100" w:type="dxa"/>
                  </w:tcMar>
                </w:tcPr>
                <w:p w:rsidR="007A59C3" w:rsidRDefault="00197BD7">
                  <w:pPr>
                    <w:widowControl w:val="0"/>
                    <w:spacing w:after="0" w:line="240" w:lineRule="auto"/>
                    <w:rPr>
                      <w:color w:val="000000"/>
                      <w:sz w:val="22"/>
                      <w:szCs w:val="22"/>
                    </w:rPr>
                  </w:pPr>
                  <w:r>
                    <w:rPr>
                      <w:color w:val="000000"/>
                      <w:sz w:val="22"/>
                      <w:szCs w:val="22"/>
                    </w:rPr>
                    <w:t>Read All</w:t>
                  </w:r>
                </w:p>
              </w:tc>
              <w:tc>
                <w:tcPr>
                  <w:tcW w:w="1328" w:type="dxa"/>
                  <w:shd w:val="clear" w:color="auto" w:fill="auto"/>
                  <w:tcMar>
                    <w:top w:w="100" w:type="dxa"/>
                    <w:left w:w="100" w:type="dxa"/>
                    <w:bottom w:w="100" w:type="dxa"/>
                    <w:right w:w="100" w:type="dxa"/>
                  </w:tcMar>
                </w:tcPr>
                <w:p w:rsidR="007A59C3" w:rsidRDefault="00197BD7">
                  <w:pPr>
                    <w:widowControl w:val="0"/>
                    <w:spacing w:after="0" w:line="240" w:lineRule="auto"/>
                    <w:rPr>
                      <w:color w:val="000000"/>
                      <w:sz w:val="22"/>
                      <w:szCs w:val="22"/>
                    </w:rPr>
                  </w:pPr>
                  <w:r>
                    <w:rPr>
                      <w:color w:val="000000"/>
                      <w:sz w:val="22"/>
                      <w:szCs w:val="22"/>
                    </w:rPr>
                    <w:t xml:space="preserve">Read PP </w:t>
                  </w:r>
                </w:p>
              </w:tc>
              <w:tc>
                <w:tcPr>
                  <w:tcW w:w="1328" w:type="dxa"/>
                  <w:shd w:val="clear" w:color="auto" w:fill="auto"/>
                  <w:tcMar>
                    <w:top w:w="100" w:type="dxa"/>
                    <w:left w:w="100" w:type="dxa"/>
                    <w:bottom w:w="100" w:type="dxa"/>
                    <w:right w:w="100" w:type="dxa"/>
                  </w:tcMar>
                </w:tcPr>
                <w:p w:rsidR="007A59C3" w:rsidRDefault="00197BD7">
                  <w:pPr>
                    <w:widowControl w:val="0"/>
                    <w:spacing w:after="0" w:line="240" w:lineRule="auto"/>
                    <w:rPr>
                      <w:color w:val="000000"/>
                      <w:sz w:val="22"/>
                      <w:szCs w:val="22"/>
                    </w:rPr>
                  </w:pPr>
                  <w:r>
                    <w:rPr>
                      <w:color w:val="000000"/>
                      <w:sz w:val="22"/>
                      <w:szCs w:val="22"/>
                    </w:rPr>
                    <w:t xml:space="preserve">Writ All </w:t>
                  </w:r>
                </w:p>
              </w:tc>
              <w:tc>
                <w:tcPr>
                  <w:tcW w:w="1328" w:type="dxa"/>
                  <w:shd w:val="clear" w:color="auto" w:fill="auto"/>
                  <w:tcMar>
                    <w:top w:w="100" w:type="dxa"/>
                    <w:left w:w="100" w:type="dxa"/>
                    <w:bottom w:w="100" w:type="dxa"/>
                    <w:right w:w="100" w:type="dxa"/>
                  </w:tcMar>
                </w:tcPr>
                <w:p w:rsidR="007A59C3" w:rsidRDefault="00197BD7">
                  <w:pPr>
                    <w:widowControl w:val="0"/>
                    <w:spacing w:after="0" w:line="240" w:lineRule="auto"/>
                    <w:rPr>
                      <w:color w:val="000000"/>
                      <w:sz w:val="22"/>
                      <w:szCs w:val="22"/>
                    </w:rPr>
                  </w:pPr>
                  <w:r>
                    <w:rPr>
                      <w:color w:val="000000"/>
                      <w:sz w:val="22"/>
                      <w:szCs w:val="22"/>
                    </w:rPr>
                    <w:t xml:space="preserve">Writ PP </w:t>
                  </w:r>
                </w:p>
              </w:tc>
              <w:tc>
                <w:tcPr>
                  <w:tcW w:w="1328" w:type="dxa"/>
                  <w:shd w:val="clear" w:color="auto" w:fill="auto"/>
                  <w:tcMar>
                    <w:top w:w="100" w:type="dxa"/>
                    <w:left w:w="100" w:type="dxa"/>
                    <w:bottom w:w="100" w:type="dxa"/>
                    <w:right w:w="100" w:type="dxa"/>
                  </w:tcMar>
                </w:tcPr>
                <w:p w:rsidR="007A59C3" w:rsidRDefault="00197BD7">
                  <w:pPr>
                    <w:widowControl w:val="0"/>
                    <w:spacing w:after="0" w:line="240" w:lineRule="auto"/>
                    <w:rPr>
                      <w:color w:val="000000"/>
                      <w:sz w:val="22"/>
                      <w:szCs w:val="22"/>
                    </w:rPr>
                  </w:pPr>
                  <w:r>
                    <w:rPr>
                      <w:color w:val="000000"/>
                      <w:sz w:val="22"/>
                      <w:szCs w:val="22"/>
                    </w:rPr>
                    <w:t xml:space="preserve">Maths All </w:t>
                  </w:r>
                </w:p>
              </w:tc>
              <w:tc>
                <w:tcPr>
                  <w:tcW w:w="1328" w:type="dxa"/>
                  <w:shd w:val="clear" w:color="auto" w:fill="auto"/>
                  <w:tcMar>
                    <w:top w:w="100" w:type="dxa"/>
                    <w:left w:w="100" w:type="dxa"/>
                    <w:bottom w:w="100" w:type="dxa"/>
                    <w:right w:w="100" w:type="dxa"/>
                  </w:tcMar>
                </w:tcPr>
                <w:p w:rsidR="007A59C3" w:rsidRDefault="00197BD7">
                  <w:pPr>
                    <w:widowControl w:val="0"/>
                    <w:spacing w:after="0" w:line="240" w:lineRule="auto"/>
                    <w:rPr>
                      <w:color w:val="000000"/>
                      <w:sz w:val="22"/>
                      <w:szCs w:val="22"/>
                    </w:rPr>
                  </w:pPr>
                  <w:r>
                    <w:rPr>
                      <w:color w:val="000000"/>
                      <w:sz w:val="22"/>
                      <w:szCs w:val="22"/>
                    </w:rPr>
                    <w:t>Maths PP</w:t>
                  </w:r>
                </w:p>
              </w:tc>
            </w:tr>
            <w:tr w:rsidR="007A59C3">
              <w:tc>
                <w:tcPr>
                  <w:tcW w:w="1328"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Yr 1</w:t>
                  </w:r>
                </w:p>
              </w:tc>
              <w:tc>
                <w:tcPr>
                  <w:tcW w:w="1328"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90%</w:t>
                  </w:r>
                </w:p>
              </w:tc>
              <w:tc>
                <w:tcPr>
                  <w:tcW w:w="1328"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100% (2chn)</w:t>
                  </w:r>
                </w:p>
              </w:tc>
              <w:tc>
                <w:tcPr>
                  <w:tcW w:w="1328"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79%</w:t>
                  </w:r>
                </w:p>
              </w:tc>
              <w:tc>
                <w:tcPr>
                  <w:tcW w:w="1328"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50%</w:t>
                  </w:r>
                </w:p>
              </w:tc>
              <w:tc>
                <w:tcPr>
                  <w:tcW w:w="1328"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86%</w:t>
                  </w:r>
                </w:p>
              </w:tc>
              <w:tc>
                <w:tcPr>
                  <w:tcW w:w="1328"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100%</w:t>
                  </w:r>
                </w:p>
              </w:tc>
            </w:tr>
            <w:tr w:rsidR="007A59C3">
              <w:tc>
                <w:tcPr>
                  <w:tcW w:w="1328"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yr 2</w:t>
                  </w:r>
                </w:p>
              </w:tc>
              <w:tc>
                <w:tcPr>
                  <w:tcW w:w="1328"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86%</w:t>
                  </w:r>
                </w:p>
              </w:tc>
              <w:tc>
                <w:tcPr>
                  <w:tcW w:w="1328"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100%</w:t>
                  </w:r>
                </w:p>
                <w:p w:rsidR="007A59C3" w:rsidRDefault="00197BD7">
                  <w:pPr>
                    <w:widowControl w:val="0"/>
                    <w:pBdr>
                      <w:top w:val="nil"/>
                      <w:left w:val="nil"/>
                      <w:bottom w:val="nil"/>
                      <w:right w:val="nil"/>
                      <w:between w:val="nil"/>
                    </w:pBdr>
                    <w:spacing w:after="0" w:line="240" w:lineRule="auto"/>
                  </w:pPr>
                  <w:r>
                    <w:t>(2chn)</w:t>
                  </w:r>
                </w:p>
              </w:tc>
              <w:tc>
                <w:tcPr>
                  <w:tcW w:w="1328"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67%</w:t>
                  </w:r>
                </w:p>
              </w:tc>
              <w:tc>
                <w:tcPr>
                  <w:tcW w:w="1328"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50%</w:t>
                  </w:r>
                </w:p>
              </w:tc>
              <w:tc>
                <w:tcPr>
                  <w:tcW w:w="1328"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80%</w:t>
                  </w:r>
                </w:p>
              </w:tc>
              <w:tc>
                <w:tcPr>
                  <w:tcW w:w="1328"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100%</w:t>
                  </w:r>
                </w:p>
                <w:p w:rsidR="007A59C3" w:rsidRDefault="007A59C3">
                  <w:pPr>
                    <w:widowControl w:val="0"/>
                    <w:pBdr>
                      <w:top w:val="nil"/>
                      <w:left w:val="nil"/>
                      <w:bottom w:val="nil"/>
                      <w:right w:val="nil"/>
                      <w:between w:val="nil"/>
                    </w:pBdr>
                    <w:spacing w:after="0" w:line="240" w:lineRule="auto"/>
                  </w:pPr>
                </w:p>
              </w:tc>
            </w:tr>
            <w:tr w:rsidR="007A59C3">
              <w:tc>
                <w:tcPr>
                  <w:tcW w:w="1328"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yr 3</w:t>
                  </w:r>
                </w:p>
              </w:tc>
              <w:tc>
                <w:tcPr>
                  <w:tcW w:w="1328"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81%</w:t>
                  </w:r>
                </w:p>
              </w:tc>
              <w:tc>
                <w:tcPr>
                  <w:tcW w:w="1328"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80%</w:t>
                  </w:r>
                </w:p>
                <w:p w:rsidR="007A59C3" w:rsidRDefault="00197BD7">
                  <w:pPr>
                    <w:widowControl w:val="0"/>
                    <w:pBdr>
                      <w:top w:val="nil"/>
                      <w:left w:val="nil"/>
                      <w:bottom w:val="nil"/>
                      <w:right w:val="nil"/>
                      <w:between w:val="nil"/>
                    </w:pBdr>
                    <w:spacing w:after="0" w:line="240" w:lineRule="auto"/>
                  </w:pPr>
                  <w:r>
                    <w:t>(5 chn)</w:t>
                  </w:r>
                </w:p>
              </w:tc>
              <w:tc>
                <w:tcPr>
                  <w:tcW w:w="1328"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67%</w:t>
                  </w:r>
                </w:p>
                <w:p w:rsidR="007A59C3" w:rsidRDefault="007A59C3">
                  <w:pPr>
                    <w:widowControl w:val="0"/>
                    <w:pBdr>
                      <w:top w:val="nil"/>
                      <w:left w:val="nil"/>
                      <w:bottom w:val="nil"/>
                      <w:right w:val="nil"/>
                      <w:between w:val="nil"/>
                    </w:pBdr>
                    <w:spacing w:after="0" w:line="240" w:lineRule="auto"/>
                  </w:pPr>
                </w:p>
              </w:tc>
              <w:tc>
                <w:tcPr>
                  <w:tcW w:w="1328"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40%</w:t>
                  </w:r>
                </w:p>
                <w:p w:rsidR="007A59C3" w:rsidRDefault="007A59C3">
                  <w:pPr>
                    <w:widowControl w:val="0"/>
                    <w:pBdr>
                      <w:top w:val="nil"/>
                      <w:left w:val="nil"/>
                      <w:bottom w:val="nil"/>
                      <w:right w:val="nil"/>
                      <w:between w:val="nil"/>
                    </w:pBdr>
                    <w:spacing w:after="0" w:line="240" w:lineRule="auto"/>
                  </w:pPr>
                </w:p>
              </w:tc>
              <w:tc>
                <w:tcPr>
                  <w:tcW w:w="1328"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78%</w:t>
                  </w:r>
                </w:p>
              </w:tc>
              <w:tc>
                <w:tcPr>
                  <w:tcW w:w="1328"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40%</w:t>
                  </w:r>
                </w:p>
                <w:p w:rsidR="007A59C3" w:rsidRDefault="007A59C3">
                  <w:pPr>
                    <w:widowControl w:val="0"/>
                    <w:pBdr>
                      <w:top w:val="nil"/>
                      <w:left w:val="nil"/>
                      <w:bottom w:val="nil"/>
                      <w:right w:val="nil"/>
                      <w:between w:val="nil"/>
                    </w:pBdr>
                    <w:spacing w:after="0" w:line="240" w:lineRule="auto"/>
                  </w:pPr>
                </w:p>
              </w:tc>
            </w:tr>
            <w:tr w:rsidR="007A59C3">
              <w:tc>
                <w:tcPr>
                  <w:tcW w:w="1328"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yr 4</w:t>
                  </w:r>
                </w:p>
              </w:tc>
              <w:tc>
                <w:tcPr>
                  <w:tcW w:w="1328"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91 %</w:t>
                  </w:r>
                </w:p>
              </w:tc>
              <w:tc>
                <w:tcPr>
                  <w:tcW w:w="1328"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60%</w:t>
                  </w:r>
                </w:p>
                <w:p w:rsidR="007A59C3" w:rsidRDefault="00197BD7">
                  <w:pPr>
                    <w:widowControl w:val="0"/>
                    <w:pBdr>
                      <w:top w:val="nil"/>
                      <w:left w:val="nil"/>
                      <w:bottom w:val="nil"/>
                      <w:right w:val="nil"/>
                      <w:between w:val="nil"/>
                    </w:pBdr>
                    <w:spacing w:after="0" w:line="240" w:lineRule="auto"/>
                  </w:pPr>
                  <w:r>
                    <w:t>(7 chn)</w:t>
                  </w:r>
                </w:p>
              </w:tc>
              <w:tc>
                <w:tcPr>
                  <w:tcW w:w="1328"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55%</w:t>
                  </w:r>
                </w:p>
              </w:tc>
              <w:tc>
                <w:tcPr>
                  <w:tcW w:w="1328"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14%</w:t>
                  </w:r>
                </w:p>
                <w:p w:rsidR="007A59C3" w:rsidRDefault="007A59C3">
                  <w:pPr>
                    <w:widowControl w:val="0"/>
                    <w:pBdr>
                      <w:top w:val="nil"/>
                      <w:left w:val="nil"/>
                      <w:bottom w:val="nil"/>
                      <w:right w:val="nil"/>
                      <w:between w:val="nil"/>
                    </w:pBdr>
                    <w:spacing w:after="0" w:line="240" w:lineRule="auto"/>
                  </w:pPr>
                </w:p>
              </w:tc>
              <w:tc>
                <w:tcPr>
                  <w:tcW w:w="1328"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77%</w:t>
                  </w:r>
                </w:p>
              </w:tc>
              <w:tc>
                <w:tcPr>
                  <w:tcW w:w="1328" w:type="dxa"/>
                  <w:shd w:val="clear" w:color="auto" w:fill="auto"/>
                  <w:tcMar>
                    <w:top w:w="100" w:type="dxa"/>
                    <w:left w:w="100" w:type="dxa"/>
                    <w:bottom w:w="100" w:type="dxa"/>
                    <w:right w:w="100" w:type="dxa"/>
                  </w:tcMar>
                </w:tcPr>
                <w:p w:rsidR="007A59C3" w:rsidRDefault="00197BD7">
                  <w:pPr>
                    <w:widowControl w:val="0"/>
                    <w:pBdr>
                      <w:top w:val="nil"/>
                      <w:left w:val="nil"/>
                      <w:bottom w:val="nil"/>
                      <w:right w:val="nil"/>
                      <w:between w:val="nil"/>
                    </w:pBdr>
                    <w:spacing w:after="0" w:line="240" w:lineRule="auto"/>
                  </w:pPr>
                  <w:r>
                    <w:t>60%</w:t>
                  </w:r>
                </w:p>
                <w:p w:rsidR="007A59C3" w:rsidRDefault="00197BD7">
                  <w:pPr>
                    <w:widowControl w:val="0"/>
                    <w:pBdr>
                      <w:top w:val="nil"/>
                      <w:left w:val="nil"/>
                      <w:bottom w:val="nil"/>
                      <w:right w:val="nil"/>
                      <w:between w:val="nil"/>
                    </w:pBdr>
                    <w:spacing w:after="0" w:line="240" w:lineRule="auto"/>
                  </w:pPr>
                  <w:r>
                    <w:t>(6 chn)</w:t>
                  </w:r>
                </w:p>
              </w:tc>
            </w:tr>
          </w:tbl>
          <w:p w:rsidR="007A59C3" w:rsidRDefault="007A59C3">
            <w:pPr>
              <w:widowControl w:val="0"/>
              <w:pBdr>
                <w:top w:val="nil"/>
                <w:left w:val="nil"/>
                <w:bottom w:val="nil"/>
                <w:right w:val="nil"/>
                <w:between w:val="nil"/>
              </w:pBdr>
              <w:spacing w:after="0" w:line="240" w:lineRule="auto"/>
            </w:pPr>
          </w:p>
          <w:p w:rsidR="007A59C3" w:rsidRDefault="007A59C3">
            <w:pPr>
              <w:widowControl w:val="0"/>
              <w:pBdr>
                <w:top w:val="nil"/>
                <w:left w:val="nil"/>
                <w:bottom w:val="nil"/>
                <w:right w:val="nil"/>
                <w:between w:val="nil"/>
              </w:pBdr>
              <w:spacing w:after="0" w:line="240" w:lineRule="auto"/>
            </w:pPr>
          </w:p>
          <w:p w:rsidR="007A59C3" w:rsidRDefault="007A59C3">
            <w:pPr>
              <w:widowControl w:val="0"/>
              <w:pBdr>
                <w:top w:val="nil"/>
                <w:left w:val="nil"/>
                <w:bottom w:val="nil"/>
                <w:right w:val="nil"/>
                <w:between w:val="nil"/>
              </w:pBdr>
              <w:spacing w:after="0" w:line="240" w:lineRule="auto"/>
            </w:pPr>
          </w:p>
          <w:p w:rsidR="007A59C3" w:rsidRDefault="007A59C3">
            <w:pPr>
              <w:widowControl w:val="0"/>
              <w:pBdr>
                <w:top w:val="nil"/>
                <w:left w:val="nil"/>
                <w:bottom w:val="nil"/>
                <w:right w:val="nil"/>
                <w:between w:val="nil"/>
              </w:pBdr>
              <w:spacing w:after="0" w:line="240" w:lineRule="auto"/>
            </w:pPr>
          </w:p>
          <w:p w:rsidR="007A59C3" w:rsidRDefault="007A59C3">
            <w:pPr>
              <w:widowControl w:val="0"/>
              <w:pBdr>
                <w:top w:val="nil"/>
                <w:left w:val="nil"/>
                <w:bottom w:val="nil"/>
                <w:right w:val="nil"/>
                <w:between w:val="nil"/>
              </w:pBdr>
              <w:spacing w:after="0" w:line="240" w:lineRule="auto"/>
            </w:pPr>
          </w:p>
        </w:tc>
      </w:tr>
    </w:tbl>
    <w:p w:rsidR="007A59C3" w:rsidRDefault="007A59C3"/>
    <w:p w:rsidR="007A59C3" w:rsidRDefault="007A59C3">
      <w:pPr>
        <w:spacing w:after="0" w:line="240" w:lineRule="auto"/>
      </w:pPr>
    </w:p>
    <w:p w:rsidR="007A59C3" w:rsidRDefault="00197BD7">
      <w:pPr>
        <w:pStyle w:val="Heading2"/>
        <w:spacing w:before="600"/>
      </w:pPr>
      <w:r>
        <w:t>Externally provided programmes</w:t>
      </w:r>
    </w:p>
    <w:p w:rsidR="007A59C3" w:rsidRDefault="00197BD7">
      <w:pPr>
        <w:rPr>
          <w:i/>
        </w:rPr>
      </w:pPr>
      <w:r>
        <w:rPr>
          <w:i/>
        </w:rPr>
        <w:t>Please include the names of any non-DfE programmes that you purchased in the previous academic year. This will help the Department for Education identify which ones are popular in England</w:t>
      </w:r>
    </w:p>
    <w:tbl>
      <w:tblPr>
        <w:tblStyle w:val="affff5"/>
        <w:tblW w:w="9486" w:type="dxa"/>
        <w:tblLayout w:type="fixed"/>
        <w:tblLook w:val="0400" w:firstRow="0" w:lastRow="0" w:firstColumn="0" w:lastColumn="0" w:noHBand="0" w:noVBand="1"/>
      </w:tblPr>
      <w:tblGrid>
        <w:gridCol w:w="4815"/>
        <w:gridCol w:w="4671"/>
      </w:tblGrid>
      <w:tr w:rsidR="007A59C3">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A59C3" w:rsidRDefault="00197BD7">
            <w:pPr>
              <w:spacing w:before="60" w:after="60" w:line="240" w:lineRule="auto"/>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A59C3" w:rsidRDefault="00197BD7">
            <w:pPr>
              <w:spacing w:before="60" w:after="60" w:line="240" w:lineRule="auto"/>
              <w:ind w:left="57" w:right="57"/>
              <w:rPr>
                <w:b/>
              </w:rPr>
            </w:pPr>
            <w:r>
              <w:rPr>
                <w:b/>
              </w:rPr>
              <w:t>Provider</w:t>
            </w:r>
          </w:p>
        </w:tc>
      </w:tr>
      <w:tr w:rsidR="007A59C3">
        <w:tc>
          <w:tcPr>
            <w:tcW w:w="4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59C3" w:rsidRDefault="00197BD7">
            <w:pPr>
              <w:spacing w:before="240" w:line="240" w:lineRule="auto"/>
            </w:pPr>
            <w:r>
              <w:t>Online learning for Maths and English</w:t>
            </w:r>
          </w:p>
        </w:tc>
        <w:tc>
          <w:tcPr>
            <w:tcW w:w="467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A59C3" w:rsidRDefault="00197BD7">
            <w:pPr>
              <w:spacing w:before="240" w:line="240" w:lineRule="auto"/>
            </w:pPr>
            <w:r>
              <w:t>IXL</w:t>
            </w:r>
          </w:p>
        </w:tc>
      </w:tr>
      <w:tr w:rsidR="007A59C3">
        <w:tc>
          <w:tcPr>
            <w:tcW w:w="4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59C3" w:rsidRDefault="00197BD7">
            <w:pPr>
              <w:spacing w:before="240" w:line="240" w:lineRule="auto"/>
            </w:pPr>
            <w:r>
              <w:t>X times online learning</w:t>
            </w:r>
          </w:p>
        </w:tc>
        <w:tc>
          <w:tcPr>
            <w:tcW w:w="4671" w:type="dxa"/>
            <w:tcBorders>
              <w:top w:val="nil"/>
              <w:left w:val="nil"/>
              <w:bottom w:val="single" w:sz="8" w:space="0" w:color="000000"/>
              <w:right w:val="single" w:sz="8" w:space="0" w:color="000000"/>
            </w:tcBorders>
            <w:tcMar>
              <w:top w:w="100" w:type="dxa"/>
              <w:left w:w="100" w:type="dxa"/>
              <w:bottom w:w="100" w:type="dxa"/>
              <w:right w:w="100" w:type="dxa"/>
            </w:tcMar>
          </w:tcPr>
          <w:p w:rsidR="007A59C3" w:rsidRDefault="00197BD7">
            <w:pPr>
              <w:spacing w:before="240" w:line="240" w:lineRule="auto"/>
            </w:pPr>
            <w:r>
              <w:t>TT Rockstars</w:t>
            </w:r>
          </w:p>
        </w:tc>
      </w:tr>
      <w:tr w:rsidR="007A59C3">
        <w:tc>
          <w:tcPr>
            <w:tcW w:w="4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59C3" w:rsidRDefault="00197BD7">
            <w:pPr>
              <w:spacing w:before="240" w:line="240" w:lineRule="auto"/>
            </w:pPr>
            <w:r>
              <w:t xml:space="preserve">Purple Mash </w:t>
            </w:r>
          </w:p>
        </w:tc>
        <w:tc>
          <w:tcPr>
            <w:tcW w:w="4671" w:type="dxa"/>
            <w:tcBorders>
              <w:top w:val="nil"/>
              <w:left w:val="nil"/>
              <w:bottom w:val="single" w:sz="8" w:space="0" w:color="000000"/>
              <w:right w:val="single" w:sz="8" w:space="0" w:color="000000"/>
            </w:tcBorders>
            <w:tcMar>
              <w:top w:w="100" w:type="dxa"/>
              <w:left w:w="100" w:type="dxa"/>
              <w:bottom w:w="100" w:type="dxa"/>
              <w:right w:w="100" w:type="dxa"/>
            </w:tcMar>
          </w:tcPr>
          <w:p w:rsidR="007A59C3" w:rsidRDefault="007A59C3">
            <w:pPr>
              <w:spacing w:before="240" w:line="240" w:lineRule="auto"/>
            </w:pPr>
          </w:p>
        </w:tc>
      </w:tr>
    </w:tbl>
    <w:p w:rsidR="007A59C3" w:rsidRDefault="007A59C3">
      <w:pPr>
        <w:pStyle w:val="Heading1"/>
      </w:pPr>
    </w:p>
    <w:p w:rsidR="007A59C3" w:rsidRDefault="007A59C3"/>
    <w:p w:rsidR="007A59C3" w:rsidRDefault="007A59C3"/>
    <w:sectPr w:rsidR="007A59C3">
      <w:headerReference w:type="default" r:id="rId10"/>
      <w:footerReference w:type="default" r:id="rId11"/>
      <w:pgSz w:w="11906" w:h="16838"/>
      <w:pgMar w:top="1134" w:right="1276"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BD7" w:rsidRDefault="00197BD7">
      <w:pPr>
        <w:spacing w:after="0" w:line="240" w:lineRule="auto"/>
      </w:pPr>
      <w:r>
        <w:separator/>
      </w:r>
    </w:p>
  </w:endnote>
  <w:endnote w:type="continuationSeparator" w:id="0">
    <w:p w:rsidR="00197BD7" w:rsidRDefault="00197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9C3" w:rsidRDefault="00197BD7">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rsidR="00D46F5E">
      <w:fldChar w:fldCharType="separate"/>
    </w:r>
    <w:r w:rsidR="00D46F5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BD7" w:rsidRDefault="00197BD7">
      <w:pPr>
        <w:spacing w:after="0" w:line="240" w:lineRule="auto"/>
      </w:pPr>
      <w:r>
        <w:separator/>
      </w:r>
    </w:p>
  </w:footnote>
  <w:footnote w:type="continuationSeparator" w:id="0">
    <w:p w:rsidR="00197BD7" w:rsidRDefault="00197B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9C3" w:rsidRDefault="007A59C3">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A1A8A"/>
    <w:multiLevelType w:val="multilevel"/>
    <w:tmpl w:val="BA20E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pStyle w:val="Heading5"/>
      <w:lvlText w:val="-"/>
      <w:lvlJc w:val="left"/>
      <w:pPr>
        <w:ind w:left="3600" w:hanging="360"/>
      </w:pPr>
      <w:rPr>
        <w:u w:val="none"/>
      </w:rPr>
    </w:lvl>
    <w:lvl w:ilvl="5">
      <w:start w:val="1"/>
      <w:numFmt w:val="bullet"/>
      <w:pStyle w:val="Heading6"/>
      <w:lvlText w:val="-"/>
      <w:lvlJc w:val="left"/>
      <w:pPr>
        <w:ind w:left="4320" w:hanging="360"/>
      </w:pPr>
      <w:rPr>
        <w:u w:val="none"/>
      </w:rPr>
    </w:lvl>
    <w:lvl w:ilvl="6">
      <w:start w:val="1"/>
      <w:numFmt w:val="bullet"/>
      <w:pStyle w:val="Heading7"/>
      <w:lvlText w:val="-"/>
      <w:lvlJc w:val="left"/>
      <w:pPr>
        <w:ind w:left="5040" w:hanging="360"/>
      </w:pPr>
      <w:rPr>
        <w:u w:val="none"/>
      </w:rPr>
    </w:lvl>
    <w:lvl w:ilvl="7">
      <w:start w:val="1"/>
      <w:numFmt w:val="bullet"/>
      <w:pStyle w:val="Heading8"/>
      <w:lvlText w:val="-"/>
      <w:lvlJc w:val="left"/>
      <w:pPr>
        <w:ind w:left="5760" w:hanging="360"/>
      </w:pPr>
      <w:rPr>
        <w:u w:val="none"/>
      </w:rPr>
    </w:lvl>
    <w:lvl w:ilvl="8">
      <w:start w:val="1"/>
      <w:numFmt w:val="bullet"/>
      <w:pStyle w:val="Heading9"/>
      <w:lvlText w:val="-"/>
      <w:lvlJc w:val="left"/>
      <w:pPr>
        <w:ind w:left="6480" w:hanging="360"/>
      </w:pPr>
      <w:rPr>
        <w:u w:val="none"/>
      </w:rPr>
    </w:lvl>
  </w:abstractNum>
  <w:abstractNum w:abstractNumId="1" w15:restartNumberingAfterBreak="0">
    <w:nsid w:val="30921858"/>
    <w:multiLevelType w:val="multilevel"/>
    <w:tmpl w:val="454E1542"/>
    <w:lvl w:ilvl="0">
      <w:numFmt w:val="bullet"/>
      <w:pStyle w:val="DfESOutNumbered1"/>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67CB1541"/>
    <w:multiLevelType w:val="multilevel"/>
    <w:tmpl w:val="37B6AE1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6F100B7E"/>
    <w:multiLevelType w:val="multilevel"/>
    <w:tmpl w:val="2B0CF296"/>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9C3"/>
    <w:rsid w:val="00197BD7"/>
    <w:rsid w:val="007A59C3"/>
    <w:rsid w:val="00D46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9D96EB-8FEF-4515-B67A-588AB774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120"/>
    </w:rPr>
  </w:style>
  <w:style w:type="numbering" w:customStyle="1" w:styleId="WWOutlineListStyle1">
    <w:name w:val="WW_OutlineListStyle_1"/>
    <w:basedOn w:val="NoList"/>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b/>
      <w:color w:val="365F91"/>
      <w:sz w:val="36"/>
      <w:szCs w:val="28"/>
      <w:lang w:eastAsia="ja-JP"/>
    </w:rPr>
  </w:style>
  <w:style w:type="paragraph" w:customStyle="1" w:styleId="TitleText">
    <w:name w:val="TitleText"/>
    <w:basedOn w:val="Normal"/>
    <w:pPr>
      <w:spacing w:before="3600" w:line="240" w:lineRule="auto"/>
    </w:pPr>
    <w:rPr>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4"/>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tabs>
        <w:tab w:val="num" w:pos="720"/>
      </w:tabs>
      <w:ind w:left="720" w:hanging="720"/>
      <w:contextualSpacing/>
    </w:pPr>
  </w:style>
  <w:style w:type="paragraph" w:styleId="ListParagraph">
    <w:name w:val="List Paragraph"/>
    <w:basedOn w:val="Normal"/>
    <w:pPr>
      <w:tabs>
        <w:tab w:val="num" w:pos="720"/>
      </w:tabs>
      <w:ind w:left="720" w:hanging="720"/>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tabs>
        <w:tab w:val="left" w:pos="491"/>
        <w:tab w:val="num" w:pos="720"/>
      </w:tabs>
      <w:ind w:left="720" w:hanging="720"/>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tabs>
        <w:tab w:val="num" w:pos="720"/>
      </w:tabs>
      <w:ind w:left="720" w:hanging="720"/>
      <w:contextualSpacing/>
    </w:pPr>
  </w:style>
  <w:style w:type="paragraph" w:customStyle="1" w:styleId="DfESOutNumbered">
    <w:name w:val="DfESOutNumbered"/>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next w:val="Normal"/>
    <w:pPr>
      <w:widowControl w:val="0"/>
      <w:spacing w:after="60" w:line="240" w:lineRule="auto"/>
      <w:jc w:val="center"/>
    </w:pPr>
    <w:rPr>
      <w:i/>
      <w:color w:val="000000"/>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style>
  <w:style w:type="numbering" w:customStyle="1" w:styleId="LFO3">
    <w:name w:val="LFO3"/>
    <w:basedOn w:val="NoList"/>
  </w:style>
  <w:style w:type="numbering" w:customStyle="1" w:styleId="LFO4">
    <w:name w:val="LFO4"/>
    <w:basedOn w:val="NoList"/>
  </w:style>
  <w:style w:type="numbering" w:customStyle="1" w:styleId="LFO6">
    <w:name w:val="LFO6"/>
    <w:basedOn w:val="NoList"/>
  </w:style>
  <w:style w:type="numbering" w:customStyle="1" w:styleId="LFO9">
    <w:name w:val="LFO9"/>
    <w:basedOn w:val="NoList"/>
  </w:style>
  <w:style w:type="numbering" w:customStyle="1" w:styleId="LFO10">
    <w:name w:val="LFO10"/>
    <w:basedOn w:val="NoList"/>
  </w:style>
  <w:style w:type="numbering" w:customStyle="1" w:styleId="LFO25">
    <w:name w:val="LFO25"/>
    <w:basedOn w:val="NoList"/>
  </w:style>
  <w:style w:type="numbering" w:customStyle="1" w:styleId="LFO28">
    <w:name w:val="LFO28"/>
    <w:basedOn w:val="NoList"/>
  </w:style>
  <w:style w:type="numbering" w:customStyle="1" w:styleId="LFO30">
    <w:name w:val="LFO30"/>
    <w:basedOn w:val="NoList"/>
  </w:style>
  <w:style w:type="numbering" w:customStyle="1" w:styleId="LFO34">
    <w:name w:val="LFO34"/>
    <w:basedOn w:val="NoList"/>
  </w:style>
  <w:style w:type="numbering" w:customStyle="1" w:styleId="LFO36">
    <w:name w:val="LFO36"/>
    <w:basedOn w:val="NoList"/>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table" w:customStyle="1" w:styleId="afb">
    <w:basedOn w:val="TableNormal"/>
    <w:tblPr>
      <w:tblStyleRowBandSize w:val="1"/>
      <w:tblStyleColBandSize w:val="1"/>
      <w:tblCellMar>
        <w:left w:w="10" w:type="dxa"/>
        <w:right w:w="1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left w:w="10" w:type="dxa"/>
        <w:right w:w="10" w:type="dxa"/>
      </w:tblCellMar>
    </w:tbl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0" w:type="dxa"/>
        <w:right w:w="10" w:type="dxa"/>
      </w:tblCellMar>
    </w:tblPr>
  </w:style>
  <w:style w:type="table" w:customStyle="1" w:styleId="afff8">
    <w:basedOn w:val="TableNormal"/>
    <w:tblPr>
      <w:tblStyleRowBandSize w:val="1"/>
      <w:tblStyleColBandSize w:val="1"/>
      <w:tblCellMar>
        <w:left w:w="10" w:type="dxa"/>
        <w:right w:w="10" w:type="dxa"/>
      </w:tblCellMar>
    </w:tblPr>
  </w:style>
  <w:style w:type="table" w:customStyle="1" w:styleId="afff9">
    <w:basedOn w:val="TableNormal"/>
    <w:tblPr>
      <w:tblStyleRowBandSize w:val="1"/>
      <w:tblStyleColBandSize w:val="1"/>
      <w:tblCellMar>
        <w:left w:w="10" w:type="dxa"/>
        <w:right w:w="10" w:type="dxa"/>
      </w:tblCellMar>
    </w:tblPr>
  </w:style>
  <w:style w:type="table" w:customStyle="1" w:styleId="afffa">
    <w:basedOn w:val="TableNormal"/>
    <w:tblPr>
      <w:tblStyleRowBandSize w:val="1"/>
      <w:tblStyleColBandSize w:val="1"/>
      <w:tblCellMar>
        <w:left w:w="10" w:type="dxa"/>
        <w:right w:w="10" w:type="dxa"/>
      </w:tblCellMar>
    </w:tblPr>
  </w:style>
  <w:style w:type="table" w:customStyle="1" w:styleId="afffb">
    <w:basedOn w:val="TableNormal"/>
    <w:tblPr>
      <w:tblStyleRowBandSize w:val="1"/>
      <w:tblStyleColBandSize w:val="1"/>
      <w:tblCellMar>
        <w:left w:w="10" w:type="dxa"/>
        <w:right w:w="10" w:type="dxa"/>
      </w:tblCellMar>
    </w:tblPr>
  </w:style>
  <w:style w:type="table" w:customStyle="1" w:styleId="afffc">
    <w:basedOn w:val="TableNormal"/>
    <w:tblPr>
      <w:tblStyleRowBandSize w:val="1"/>
      <w:tblStyleColBandSize w:val="1"/>
      <w:tblCellMar>
        <w:left w:w="10" w:type="dxa"/>
        <w:right w:w="10" w:type="dxa"/>
      </w:tblCellMar>
    </w:tblPr>
  </w:style>
  <w:style w:type="table" w:customStyle="1" w:styleId="afffd">
    <w:basedOn w:val="TableNormal"/>
    <w:tblPr>
      <w:tblStyleRowBandSize w:val="1"/>
      <w:tblStyleColBandSize w:val="1"/>
      <w:tblCellMar>
        <w:left w:w="10" w:type="dxa"/>
        <w:right w:w="10" w:type="dxa"/>
      </w:tblCellMar>
    </w:tblPr>
  </w:style>
  <w:style w:type="table" w:customStyle="1" w:styleId="afffe">
    <w:basedOn w:val="TableNormal"/>
    <w:tblPr>
      <w:tblStyleRowBandSize w:val="1"/>
      <w:tblStyleColBandSize w:val="1"/>
      <w:tblCellMar>
        <w:left w:w="10" w:type="dxa"/>
        <w:right w:w="10" w:type="dxa"/>
      </w:tblCellMar>
    </w:tblPr>
  </w:style>
  <w:style w:type="table" w:customStyle="1" w:styleId="affff">
    <w:basedOn w:val="TableNormal"/>
    <w:tblPr>
      <w:tblStyleRowBandSize w:val="1"/>
      <w:tblStyleColBandSize w:val="1"/>
      <w:tblCellMar>
        <w:left w:w="10" w:type="dxa"/>
        <w:right w:w="10" w:type="dxa"/>
      </w:tblCellMar>
    </w:tblPr>
  </w:style>
  <w:style w:type="table" w:customStyle="1" w:styleId="affff0">
    <w:basedOn w:val="TableNormal"/>
    <w:tblPr>
      <w:tblStyleRowBandSize w:val="1"/>
      <w:tblStyleColBandSize w:val="1"/>
      <w:tblCellMar>
        <w:left w:w="10" w:type="dxa"/>
        <w:right w:w="10" w:type="dxa"/>
      </w:tblCellMar>
    </w:tblPr>
  </w:style>
  <w:style w:type="table" w:customStyle="1" w:styleId="affff1">
    <w:basedOn w:val="TableNormal"/>
    <w:tblPr>
      <w:tblStyleRowBandSize w:val="1"/>
      <w:tblStyleColBandSize w:val="1"/>
      <w:tblCellMar>
        <w:left w:w="10" w:type="dxa"/>
        <w:right w:w="1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DrIDrJj1/y6Ub8sYHoXybpGn4g==">CgMxLjAyDmguM3A4OTR4bjh3MTZhMgloLjMwajB6bGwyCWguMWZvYjl0ZTgAciExTUM0LVN1cFlUdkRlaXdZNlRvaWxfZzZvaXVlM2NfUVg=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2100</Words>
  <Characters>11972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Publishing.TEAM@education.gsi.gov.uk</dc:creator>
  <cp:lastModifiedBy>Emily Fearn</cp:lastModifiedBy>
  <cp:revision>2</cp:revision>
  <dcterms:created xsi:type="dcterms:W3CDTF">2025-03-11T10:11:00Z</dcterms:created>
  <dcterms:modified xsi:type="dcterms:W3CDTF">2025-03-11T10:11:00Z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